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42540">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ajorEastAsia" w:hAnsiTheme="majorEastAsia" w:eastAsiaTheme="majorEastAsia" w:cstheme="majorEastAsia"/>
          <w:b/>
          <w:bCs/>
          <w:sz w:val="44"/>
          <w:szCs w:val="44"/>
          <w:lang w:eastAsia="zh-CN"/>
        </w:rPr>
      </w:pPr>
      <w:r>
        <w:rPr>
          <w:rFonts w:hint="eastAsia" w:asciiTheme="majorEastAsia" w:hAnsiTheme="majorEastAsia" w:eastAsiaTheme="majorEastAsia" w:cstheme="majorEastAsia"/>
          <w:b/>
          <w:bCs/>
          <w:sz w:val="44"/>
          <w:szCs w:val="44"/>
          <w:lang w:val="en-US" w:eastAsia="zh-CN"/>
        </w:rPr>
        <w:t>乐亭县XX企业管理服务中心</w:t>
      </w:r>
      <w:r>
        <w:rPr>
          <w:rFonts w:hint="eastAsia" w:asciiTheme="majorEastAsia" w:hAnsiTheme="majorEastAsia" w:eastAsiaTheme="majorEastAsia" w:cstheme="majorEastAsia"/>
          <w:b/>
          <w:bCs/>
          <w:sz w:val="44"/>
          <w:szCs w:val="44"/>
          <w:lang w:eastAsia="zh-CN"/>
        </w:rPr>
        <w:t>（</w:t>
      </w:r>
      <w:r>
        <w:rPr>
          <w:rFonts w:hint="eastAsia" w:asciiTheme="majorEastAsia" w:hAnsiTheme="majorEastAsia" w:eastAsiaTheme="majorEastAsia" w:cstheme="majorEastAsia"/>
          <w:b/>
          <w:bCs/>
          <w:sz w:val="44"/>
          <w:szCs w:val="44"/>
          <w:lang w:val="en-US" w:eastAsia="zh-CN"/>
        </w:rPr>
        <w:t>有限合伙</w:t>
      </w:r>
      <w:r>
        <w:rPr>
          <w:rFonts w:hint="eastAsia" w:asciiTheme="majorEastAsia" w:hAnsiTheme="majorEastAsia" w:eastAsiaTheme="majorEastAsia" w:cstheme="majorEastAsia"/>
          <w:b/>
          <w:bCs/>
          <w:sz w:val="44"/>
          <w:szCs w:val="44"/>
          <w:lang w:eastAsia="zh-CN"/>
        </w:rPr>
        <w:t>）</w:t>
      </w:r>
    </w:p>
    <w:p w14:paraId="16DB4617">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合伙协议</w:t>
      </w:r>
    </w:p>
    <w:p w14:paraId="3C7742CD">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32"/>
          <w:szCs w:val="32"/>
        </w:rPr>
      </w:pPr>
      <w:r>
        <w:rPr>
          <w:rFonts w:hint="eastAsia" w:ascii="仿宋" w:hAnsi="仿宋" w:eastAsia="仿宋" w:cs="仿宋"/>
          <w:b/>
          <w:bCs/>
          <w:sz w:val="32"/>
          <w:szCs w:val="32"/>
        </w:rPr>
        <w:t>第一章 总则</w:t>
      </w:r>
    </w:p>
    <w:p w14:paraId="05A05482">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第一条 根据《中华人民共和国合伙企业法》（以下简称</w:t>
      </w:r>
      <w:bookmarkStart w:id="0" w:name="_GoBack"/>
      <w:bookmarkEnd w:id="0"/>
      <w:r>
        <w:rPr>
          <w:rFonts w:hint="eastAsia" w:ascii="仿宋" w:hAnsi="仿宋" w:eastAsia="仿宋" w:cs="仿宋"/>
          <w:sz w:val="32"/>
          <w:szCs w:val="32"/>
        </w:rPr>
        <w:t>《合伙企业法》）、《中华人民共和国市场主体登记管理条例》及有关法律、行政法规、规章的有关规定，经全体合伙人协商一致，订立本协议。</w:t>
      </w:r>
    </w:p>
    <w:p w14:paraId="618CA7C2">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第二条 本企业为</w:t>
      </w:r>
      <w:r>
        <w:rPr>
          <w:rFonts w:hint="eastAsia" w:ascii="仿宋" w:hAnsi="仿宋" w:eastAsia="仿宋" w:cs="仿宋"/>
          <w:sz w:val="32"/>
          <w:szCs w:val="32"/>
          <w:lang w:val="en-US" w:eastAsia="zh-CN"/>
        </w:rPr>
        <w:t>有限合伙企业</w:t>
      </w:r>
      <w:r>
        <w:rPr>
          <w:rFonts w:hint="eastAsia" w:ascii="仿宋" w:hAnsi="仿宋" w:eastAsia="仿宋" w:cs="仿宋"/>
          <w:sz w:val="32"/>
          <w:szCs w:val="32"/>
        </w:rPr>
        <w:t>，是根据协议自愿组成的共同经营体。全体合伙人愿意遵守国家有关的法律、法规、规章，依法纳税，守法经营。</w:t>
      </w:r>
    </w:p>
    <w:p w14:paraId="38144139">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第三条 本协议条款与法律、行政法规、规章不符的，以法律、行政法规、规章的规定为准。</w:t>
      </w:r>
    </w:p>
    <w:p w14:paraId="69C72CD1">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第四条 本协议经全体合伙人签名、盖章后生效。合伙人按照合伙协议享有权利，履行义务。</w:t>
      </w:r>
    </w:p>
    <w:p w14:paraId="20B25947">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32"/>
          <w:szCs w:val="32"/>
        </w:rPr>
      </w:pPr>
      <w:r>
        <w:rPr>
          <w:rFonts w:hint="eastAsia" w:ascii="仿宋" w:hAnsi="仿宋" w:eastAsia="仿宋" w:cs="仿宋"/>
          <w:b/>
          <w:bCs/>
          <w:sz w:val="32"/>
          <w:szCs w:val="32"/>
        </w:rPr>
        <w:t>第二章 合伙企业的名称和主要经营场所的地点</w:t>
      </w:r>
    </w:p>
    <w:p w14:paraId="6DA252D3">
      <w:pPr>
        <w:pStyle w:val="2"/>
        <w:keepNext w:val="0"/>
        <w:keepLines w:val="0"/>
        <w:pageBreakBefore w:val="0"/>
        <w:widowControl/>
        <w:kinsoku w:val="0"/>
        <w:wordWrap/>
        <w:overflowPunct/>
        <w:topLinePunct w:val="0"/>
        <w:autoSpaceDE w:val="0"/>
        <w:autoSpaceDN w:val="0"/>
        <w:bidi w:val="0"/>
        <w:adjustRightInd w:val="0"/>
        <w:snapToGrid w:val="0"/>
        <w:spacing w:before="33" w:line="500" w:lineRule="exact"/>
        <w:ind w:left="100"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第五条 合伙企业名称：</w:t>
      </w:r>
      <w:r>
        <w:rPr>
          <w:rFonts w:hint="eastAsia" w:ascii="仿宋" w:hAnsi="仿宋" w:eastAsia="仿宋" w:cs="仿宋"/>
          <w:color w:val="FF0000"/>
          <w:sz w:val="32"/>
          <w:szCs w:val="32"/>
          <w:lang w:eastAsia="zh-CN"/>
        </w:rPr>
        <w:t>乐亭县</w:t>
      </w:r>
      <w:r>
        <w:rPr>
          <w:rFonts w:hint="eastAsia" w:ascii="仿宋" w:hAnsi="仿宋" w:eastAsia="仿宋" w:cs="仿宋"/>
          <w:color w:val="FF0000"/>
          <w:sz w:val="32"/>
          <w:szCs w:val="32"/>
          <w:lang w:val="en-US" w:eastAsia="zh-CN"/>
        </w:rPr>
        <w:t>XX企业管理服务中心</w:t>
      </w:r>
      <w:r>
        <w:rPr>
          <w:rFonts w:hint="eastAsia" w:ascii="仿宋" w:hAnsi="仿宋" w:eastAsia="仿宋" w:cs="仿宋"/>
          <w:color w:val="FF0000"/>
          <w:spacing w:val="-1"/>
          <w:sz w:val="32"/>
          <w:szCs w:val="32"/>
        </w:rPr>
        <w:t>（</w:t>
      </w:r>
      <w:r>
        <w:rPr>
          <w:rFonts w:hint="eastAsia" w:ascii="仿宋" w:hAnsi="仿宋" w:eastAsia="仿宋" w:cs="仿宋"/>
          <w:color w:val="FF0000"/>
          <w:spacing w:val="-1"/>
          <w:sz w:val="32"/>
          <w:szCs w:val="32"/>
          <w:lang w:val="en-US" w:eastAsia="zh-CN"/>
        </w:rPr>
        <w:t>有限</w:t>
      </w:r>
      <w:r>
        <w:rPr>
          <w:rFonts w:hint="eastAsia" w:ascii="仿宋" w:hAnsi="仿宋" w:eastAsia="仿宋" w:cs="仿宋"/>
          <w:color w:val="FF0000"/>
          <w:spacing w:val="-1"/>
          <w:sz w:val="32"/>
          <w:szCs w:val="32"/>
        </w:rPr>
        <w:t>合伙）</w:t>
      </w:r>
      <w:r>
        <w:rPr>
          <w:rFonts w:hint="eastAsia" w:ascii="仿宋" w:hAnsi="仿宋" w:eastAsia="仿宋" w:cs="仿宋"/>
          <w:color w:val="FF0000"/>
          <w:spacing w:val="-1"/>
          <w:sz w:val="32"/>
          <w:szCs w:val="32"/>
          <w:lang w:eastAsia="zh-CN"/>
        </w:rPr>
        <w:t>。</w:t>
      </w:r>
    </w:p>
    <w:p w14:paraId="5D874B6D">
      <w:pPr>
        <w:pStyle w:val="2"/>
        <w:keepNext w:val="0"/>
        <w:keepLines w:val="0"/>
        <w:pageBreakBefore w:val="0"/>
        <w:widowControl/>
        <w:kinsoku w:val="0"/>
        <w:wordWrap/>
        <w:overflowPunct/>
        <w:topLinePunct w:val="0"/>
        <w:autoSpaceDE w:val="0"/>
        <w:autoSpaceDN w:val="0"/>
        <w:bidi w:val="0"/>
        <w:adjustRightInd w:val="0"/>
        <w:snapToGrid w:val="0"/>
        <w:spacing w:before="59" w:line="500" w:lineRule="exact"/>
        <w:ind w:left="100"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第六条 企业经营场所：</w:t>
      </w:r>
      <w:r>
        <w:rPr>
          <w:rFonts w:hint="eastAsia" w:ascii="仿宋" w:hAnsi="仿宋" w:eastAsia="仿宋" w:cs="仿宋"/>
          <w:color w:val="FF0000"/>
          <w:spacing w:val="1"/>
          <w:sz w:val="32"/>
          <w:szCs w:val="32"/>
        </w:rPr>
        <w:t>河北省唐山市</w:t>
      </w:r>
      <w:r>
        <w:rPr>
          <w:rFonts w:hint="eastAsia" w:ascii="仿宋" w:hAnsi="仿宋" w:eastAsia="仿宋" w:cs="仿宋"/>
          <w:color w:val="FF0000"/>
          <w:spacing w:val="1"/>
          <w:sz w:val="32"/>
          <w:szCs w:val="32"/>
          <w:lang w:eastAsia="zh-CN"/>
        </w:rPr>
        <w:t>乐亭县</w:t>
      </w:r>
      <w:r>
        <w:rPr>
          <w:rFonts w:hint="eastAsia" w:ascii="仿宋" w:hAnsi="仿宋" w:eastAsia="仿宋" w:cs="仿宋"/>
          <w:color w:val="FF0000"/>
          <w:spacing w:val="1"/>
          <w:sz w:val="32"/>
          <w:szCs w:val="32"/>
        </w:rPr>
        <w:t>永顺街道</w:t>
      </w:r>
      <w:r>
        <w:rPr>
          <w:rFonts w:hint="eastAsia" w:ascii="仿宋" w:hAnsi="仿宋" w:eastAsia="仿宋" w:cs="仿宋"/>
          <w:color w:val="FF0000"/>
          <w:spacing w:val="1"/>
          <w:sz w:val="32"/>
          <w:szCs w:val="32"/>
          <w:lang w:val="en-US" w:eastAsia="zh-CN"/>
        </w:rPr>
        <w:t>XX</w:t>
      </w:r>
      <w:r>
        <w:rPr>
          <w:rFonts w:hint="eastAsia" w:ascii="仿宋" w:hAnsi="仿宋" w:eastAsia="仿宋" w:cs="仿宋"/>
          <w:color w:val="FF0000"/>
          <w:spacing w:val="1"/>
          <w:sz w:val="32"/>
          <w:szCs w:val="32"/>
        </w:rPr>
        <w:t>村</w:t>
      </w:r>
      <w:r>
        <w:rPr>
          <w:rFonts w:hint="eastAsia" w:ascii="仿宋" w:hAnsi="仿宋" w:eastAsia="仿宋" w:cs="仿宋"/>
          <w:color w:val="FF0000"/>
          <w:spacing w:val="1"/>
          <w:sz w:val="32"/>
          <w:szCs w:val="32"/>
          <w:lang w:val="en-US" w:eastAsia="zh-CN"/>
        </w:rPr>
        <w:t>XX</w:t>
      </w:r>
      <w:r>
        <w:rPr>
          <w:rFonts w:hint="eastAsia" w:ascii="仿宋" w:hAnsi="仿宋" w:eastAsia="仿宋" w:cs="仿宋"/>
          <w:color w:val="FF0000"/>
          <w:spacing w:val="1"/>
          <w:sz w:val="32"/>
          <w:szCs w:val="32"/>
        </w:rPr>
        <w:t>号</w:t>
      </w:r>
      <w:r>
        <w:rPr>
          <w:rFonts w:hint="eastAsia" w:ascii="仿宋" w:hAnsi="仿宋" w:eastAsia="仿宋" w:cs="仿宋"/>
          <w:color w:val="FF0000"/>
          <w:spacing w:val="1"/>
          <w:sz w:val="32"/>
          <w:szCs w:val="32"/>
          <w:lang w:eastAsia="zh-CN"/>
        </w:rPr>
        <w:t>。</w:t>
      </w:r>
    </w:p>
    <w:p w14:paraId="58E24016">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32"/>
          <w:szCs w:val="32"/>
        </w:rPr>
      </w:pPr>
      <w:r>
        <w:rPr>
          <w:rFonts w:hint="eastAsia" w:ascii="仿宋" w:hAnsi="仿宋" w:eastAsia="仿宋" w:cs="仿宋"/>
          <w:b/>
          <w:bCs/>
          <w:sz w:val="32"/>
          <w:szCs w:val="32"/>
        </w:rPr>
        <w:t>第三章 合伙目的和合伙经营范围</w:t>
      </w:r>
      <w:r>
        <w:rPr>
          <w:rFonts w:hint="eastAsia" w:ascii="仿宋" w:hAnsi="仿宋" w:eastAsia="仿宋" w:cs="仿宋"/>
          <w:b/>
          <w:bCs/>
          <w:sz w:val="32"/>
          <w:szCs w:val="32"/>
          <w:lang w:val="en-US" w:eastAsia="zh-CN"/>
        </w:rPr>
        <w:t>和</w:t>
      </w:r>
      <w:r>
        <w:rPr>
          <w:rFonts w:hint="eastAsia" w:ascii="仿宋" w:hAnsi="仿宋" w:eastAsia="仿宋" w:cs="仿宋"/>
          <w:b/>
          <w:bCs/>
          <w:sz w:val="32"/>
          <w:szCs w:val="32"/>
        </w:rPr>
        <w:t>合伙期限</w:t>
      </w:r>
    </w:p>
    <w:p w14:paraId="5939BD28">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第七条 合伙目的：</w:t>
      </w:r>
      <w:r>
        <w:rPr>
          <w:rFonts w:hint="eastAsia" w:ascii="仿宋" w:hAnsi="仿宋" w:eastAsia="仿宋" w:cs="仿宋"/>
          <w:color w:val="FF0000"/>
          <w:sz w:val="32"/>
          <w:szCs w:val="32"/>
        </w:rPr>
        <w:t>为了响应国家号召，发展多种形式经济，</w:t>
      </w:r>
      <w:r>
        <w:rPr>
          <w:rFonts w:hint="eastAsia" w:ascii="仿宋" w:hAnsi="仿宋" w:eastAsia="仿宋" w:cs="仿宋"/>
          <w:color w:val="FF0000"/>
          <w:sz w:val="32"/>
          <w:szCs w:val="32"/>
          <w:lang w:val="en-US" w:eastAsia="zh-CN"/>
        </w:rPr>
        <w:t>为社会主义现代化建设服务，</w:t>
      </w:r>
      <w:r>
        <w:rPr>
          <w:rFonts w:hint="eastAsia" w:ascii="仿宋" w:hAnsi="仿宋" w:eastAsia="仿宋" w:cs="仿宋"/>
          <w:color w:val="FF0000"/>
          <w:sz w:val="32"/>
          <w:szCs w:val="32"/>
        </w:rPr>
        <w:t>经共同协商，成立本合伙企业，为保证合伙人的合法权益，特制定本合伙协议。</w:t>
      </w:r>
    </w:p>
    <w:p w14:paraId="429D6AEE">
      <w:pPr>
        <w:pStyle w:val="2"/>
        <w:keepNext w:val="0"/>
        <w:keepLines w:val="0"/>
        <w:pageBreakBefore w:val="0"/>
        <w:widowControl/>
        <w:kinsoku w:val="0"/>
        <w:wordWrap/>
        <w:overflowPunct/>
        <w:topLinePunct w:val="0"/>
        <w:autoSpaceDE w:val="0"/>
        <w:autoSpaceDN w:val="0"/>
        <w:bidi w:val="0"/>
        <w:adjustRightInd w:val="0"/>
        <w:snapToGrid w:val="0"/>
        <w:spacing w:before="59" w:line="500" w:lineRule="exact"/>
        <w:ind w:left="100"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第八条 合伙经营范围：</w:t>
      </w:r>
      <w:r>
        <w:rPr>
          <w:rFonts w:hint="eastAsia" w:ascii="仿宋" w:hAnsi="仿宋" w:eastAsia="仿宋" w:cs="仿宋"/>
          <w:sz w:val="32"/>
          <w:szCs w:val="32"/>
          <w:lang w:val="en-US" w:eastAsia="zh-CN"/>
        </w:rPr>
        <w:t>“</w:t>
      </w:r>
      <w:r>
        <w:rPr>
          <w:rFonts w:hint="eastAsia" w:eastAsia="仿宋_GB2312"/>
          <w:color w:val="FF0000"/>
          <w:sz w:val="32"/>
          <w:lang w:val="en-US" w:eastAsia="zh-CN"/>
        </w:rPr>
        <w:t>参照微信小程序‘经营范围规范表述’自主编辑</w:t>
      </w:r>
      <w:r>
        <w:rPr>
          <w:rFonts w:hint="eastAsia" w:ascii="仿宋_GB2312" w:eastAsia="仿宋_GB2312"/>
          <w:color w:val="auto"/>
          <w:sz w:val="32"/>
          <w:lang w:eastAsia="zh-CN"/>
        </w:rPr>
        <w:t>”。</w:t>
      </w:r>
    </w:p>
    <w:p w14:paraId="717FE149">
      <w:pPr>
        <w:pStyle w:val="2"/>
        <w:keepNext w:val="0"/>
        <w:keepLines w:val="0"/>
        <w:pageBreakBefore w:val="0"/>
        <w:widowControl/>
        <w:kinsoku w:val="0"/>
        <w:wordWrap/>
        <w:overflowPunct/>
        <w:topLinePunct w:val="0"/>
        <w:autoSpaceDE w:val="0"/>
        <w:autoSpaceDN w:val="0"/>
        <w:bidi w:val="0"/>
        <w:adjustRightInd w:val="0"/>
        <w:snapToGrid w:val="0"/>
        <w:spacing w:before="59" w:line="500" w:lineRule="exact"/>
        <w:ind w:left="3" w:firstLine="624" w:firstLineChars="200"/>
        <w:textAlignment w:val="baseline"/>
        <w:rPr>
          <w:rFonts w:hint="eastAsia" w:ascii="仿宋" w:hAnsi="仿宋" w:eastAsia="仿宋" w:cs="仿宋"/>
          <w:spacing w:val="-4"/>
          <w:sz w:val="32"/>
          <w:szCs w:val="32"/>
          <w:u w:val="single" w:color="auto"/>
          <w:lang w:val="en-US" w:eastAsia="zh-CN"/>
        </w:rPr>
      </w:pPr>
      <w:r>
        <w:rPr>
          <w:rFonts w:hint="eastAsia" w:ascii="仿宋" w:hAnsi="仿宋" w:eastAsia="仿宋" w:cs="仿宋"/>
          <w:spacing w:val="-4"/>
          <w:sz w:val="32"/>
          <w:szCs w:val="32"/>
        </w:rPr>
        <w:t>合伙期限为 ：</w:t>
      </w:r>
      <w:r>
        <w:rPr>
          <w:rFonts w:hint="eastAsia" w:ascii="仿宋" w:hAnsi="仿宋" w:eastAsia="仿宋" w:cs="仿宋"/>
          <w:spacing w:val="-4"/>
          <w:sz w:val="32"/>
          <w:szCs w:val="32"/>
          <w:u w:val="single" w:color="auto"/>
        </w:rPr>
        <w:t xml:space="preserve"> </w:t>
      </w:r>
      <w:r>
        <w:rPr>
          <w:rFonts w:hint="eastAsia" w:ascii="仿宋" w:hAnsi="仿宋" w:eastAsia="仿宋" w:cs="仿宋"/>
          <w:spacing w:val="-4"/>
          <w:sz w:val="32"/>
          <w:szCs w:val="32"/>
          <w:u w:val="single" w:color="auto"/>
          <w:lang w:val="en-US" w:eastAsia="zh-CN"/>
        </w:rPr>
        <w:t>长期</w:t>
      </w:r>
    </w:p>
    <w:p w14:paraId="7B7C2B27">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32"/>
          <w:szCs w:val="32"/>
        </w:rPr>
      </w:pPr>
      <w:r>
        <w:rPr>
          <w:rFonts w:hint="eastAsia" w:ascii="仿宋" w:hAnsi="仿宋" w:eastAsia="仿宋" w:cs="仿宋"/>
          <w:b/>
          <w:bCs/>
          <w:sz w:val="32"/>
          <w:szCs w:val="32"/>
        </w:rPr>
        <w:t>第四章 合伙人的姓名或者名称、住所</w:t>
      </w:r>
    </w:p>
    <w:p w14:paraId="2918D6AC">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第九条 合伙人共2个，其中普通合伙人共1人，有限合伙人共1人分别是</w:t>
      </w:r>
      <w:r>
        <w:rPr>
          <w:rFonts w:hint="eastAsia" w:ascii="仿宋" w:hAnsi="仿宋" w:eastAsia="仿宋" w:cs="仿宋"/>
          <w:sz w:val="32"/>
          <w:szCs w:val="32"/>
          <w:lang w:eastAsia="zh-CN"/>
        </w:rPr>
        <w:t>：</w:t>
      </w:r>
    </w:p>
    <w:p w14:paraId="2039533D">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1、普通合伙人</w:t>
      </w:r>
    </w:p>
    <w:tbl>
      <w:tblPr>
        <w:tblStyle w:val="6"/>
        <w:tblW w:w="891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72"/>
        <w:gridCol w:w="3196"/>
        <w:gridCol w:w="3750"/>
      </w:tblGrid>
      <w:tr w14:paraId="18F1BB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trPr>
        <w:tc>
          <w:tcPr>
            <w:tcW w:w="1972" w:type="dxa"/>
            <w:vAlign w:val="top"/>
          </w:tcPr>
          <w:p w14:paraId="5EC706DC">
            <w:pPr>
              <w:pStyle w:val="5"/>
              <w:keepNext w:val="0"/>
              <w:keepLines w:val="0"/>
              <w:pageBreakBefore w:val="0"/>
              <w:widowControl/>
              <w:kinsoku w:val="0"/>
              <w:wordWrap/>
              <w:overflowPunct/>
              <w:topLinePunct w:val="0"/>
              <w:autoSpaceDE w:val="0"/>
              <w:autoSpaceDN w:val="0"/>
              <w:bidi w:val="0"/>
              <w:adjustRightInd w:val="0"/>
              <w:snapToGrid w:val="0"/>
              <w:spacing w:before="213" w:line="500" w:lineRule="exact"/>
              <w:ind w:left="191"/>
              <w:textAlignment w:val="baseline"/>
              <w:rPr>
                <w:rFonts w:hint="eastAsia" w:ascii="仿宋" w:hAnsi="仿宋" w:eastAsia="仿宋" w:cs="仿宋"/>
                <w:sz w:val="32"/>
                <w:szCs w:val="32"/>
              </w:rPr>
            </w:pPr>
            <w:r>
              <w:rPr>
                <w:rFonts w:hint="eastAsia" w:ascii="仿宋" w:hAnsi="仿宋" w:eastAsia="仿宋" w:cs="仿宋"/>
                <w:spacing w:val="1"/>
                <w:sz w:val="32"/>
                <w:szCs w:val="32"/>
              </w:rPr>
              <w:t>合伙人名称或姓名</w:t>
            </w:r>
          </w:p>
        </w:tc>
        <w:tc>
          <w:tcPr>
            <w:tcW w:w="3196" w:type="dxa"/>
            <w:vAlign w:val="top"/>
          </w:tcPr>
          <w:p w14:paraId="26910B6D">
            <w:pPr>
              <w:pStyle w:val="5"/>
              <w:keepNext w:val="0"/>
              <w:keepLines w:val="0"/>
              <w:pageBreakBefore w:val="0"/>
              <w:widowControl/>
              <w:kinsoku w:val="0"/>
              <w:wordWrap/>
              <w:overflowPunct/>
              <w:topLinePunct w:val="0"/>
              <w:autoSpaceDE w:val="0"/>
              <w:autoSpaceDN w:val="0"/>
              <w:bidi w:val="0"/>
              <w:adjustRightInd w:val="0"/>
              <w:snapToGrid w:val="0"/>
              <w:spacing w:before="213" w:line="500" w:lineRule="exact"/>
              <w:jc w:val="center"/>
              <w:textAlignment w:val="baseline"/>
              <w:rPr>
                <w:rFonts w:hint="eastAsia" w:ascii="仿宋" w:hAnsi="仿宋" w:eastAsia="仿宋" w:cs="仿宋"/>
                <w:sz w:val="32"/>
                <w:szCs w:val="32"/>
              </w:rPr>
            </w:pPr>
            <w:r>
              <w:rPr>
                <w:rFonts w:hint="eastAsia" w:ascii="仿宋" w:hAnsi="仿宋" w:eastAsia="仿宋" w:cs="仿宋"/>
                <w:sz w:val="32"/>
                <w:szCs w:val="32"/>
              </w:rPr>
              <w:t>住</w:t>
            </w:r>
            <w:r>
              <w:rPr>
                <w:rFonts w:hint="eastAsia" w:ascii="仿宋" w:hAnsi="仿宋" w:eastAsia="仿宋" w:cs="仿宋"/>
                <w:spacing w:val="46"/>
                <w:sz w:val="32"/>
                <w:szCs w:val="32"/>
              </w:rPr>
              <w:t xml:space="preserve"> </w:t>
            </w:r>
            <w:r>
              <w:rPr>
                <w:rFonts w:hint="eastAsia" w:ascii="仿宋" w:hAnsi="仿宋" w:eastAsia="仿宋" w:cs="仿宋"/>
                <w:sz w:val="32"/>
                <w:szCs w:val="32"/>
              </w:rPr>
              <w:t>所</w:t>
            </w:r>
          </w:p>
        </w:tc>
        <w:tc>
          <w:tcPr>
            <w:tcW w:w="3750" w:type="dxa"/>
            <w:vAlign w:val="top"/>
          </w:tcPr>
          <w:p w14:paraId="0E730519">
            <w:pPr>
              <w:pStyle w:val="5"/>
              <w:keepNext w:val="0"/>
              <w:keepLines w:val="0"/>
              <w:pageBreakBefore w:val="0"/>
              <w:widowControl/>
              <w:kinsoku w:val="0"/>
              <w:wordWrap/>
              <w:overflowPunct/>
              <w:topLinePunct w:val="0"/>
              <w:autoSpaceDE w:val="0"/>
              <w:autoSpaceDN w:val="0"/>
              <w:bidi w:val="0"/>
              <w:adjustRightInd w:val="0"/>
              <w:snapToGrid w:val="0"/>
              <w:spacing w:before="214" w:line="500" w:lineRule="exact"/>
              <w:jc w:val="center"/>
              <w:textAlignment w:val="baseline"/>
              <w:rPr>
                <w:rFonts w:hint="eastAsia" w:ascii="仿宋" w:hAnsi="仿宋" w:eastAsia="仿宋" w:cs="仿宋"/>
                <w:sz w:val="32"/>
                <w:szCs w:val="32"/>
              </w:rPr>
            </w:pPr>
            <w:r>
              <w:rPr>
                <w:rFonts w:hint="eastAsia" w:ascii="仿宋" w:hAnsi="仿宋" w:eastAsia="仿宋" w:cs="仿宋"/>
                <w:spacing w:val="1"/>
                <w:sz w:val="32"/>
                <w:szCs w:val="32"/>
              </w:rPr>
              <w:t>证件类型及号码</w:t>
            </w:r>
          </w:p>
        </w:tc>
      </w:tr>
      <w:tr w14:paraId="627D7A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972" w:type="dxa"/>
            <w:vAlign w:val="top"/>
          </w:tcPr>
          <w:p w14:paraId="0D2F35F3">
            <w:pPr>
              <w:pStyle w:val="5"/>
              <w:keepNext w:val="0"/>
              <w:keepLines w:val="0"/>
              <w:pageBreakBefore w:val="0"/>
              <w:widowControl/>
              <w:kinsoku w:val="0"/>
              <w:wordWrap/>
              <w:overflowPunct/>
              <w:topLinePunct w:val="0"/>
              <w:autoSpaceDE w:val="0"/>
              <w:autoSpaceDN w:val="0"/>
              <w:bidi w:val="0"/>
              <w:adjustRightInd w:val="0"/>
              <w:snapToGrid w:val="0"/>
              <w:spacing w:before="211" w:line="500" w:lineRule="exact"/>
              <w:jc w:val="center"/>
              <w:textAlignment w:val="baseline"/>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林XX</w:t>
            </w:r>
          </w:p>
        </w:tc>
        <w:tc>
          <w:tcPr>
            <w:tcW w:w="3196" w:type="dxa"/>
            <w:vAlign w:val="top"/>
          </w:tcPr>
          <w:p w14:paraId="030AC6C9">
            <w:pPr>
              <w:pStyle w:val="5"/>
              <w:keepNext w:val="0"/>
              <w:keepLines w:val="0"/>
              <w:pageBreakBefore w:val="0"/>
              <w:widowControl/>
              <w:kinsoku w:val="0"/>
              <w:wordWrap/>
              <w:overflowPunct/>
              <w:topLinePunct w:val="0"/>
              <w:autoSpaceDE w:val="0"/>
              <w:autoSpaceDN w:val="0"/>
              <w:bidi w:val="0"/>
              <w:adjustRightInd w:val="0"/>
              <w:snapToGrid w:val="0"/>
              <w:spacing w:before="187" w:line="500" w:lineRule="exact"/>
              <w:textAlignment w:val="baseline"/>
              <w:rPr>
                <w:rFonts w:hint="default" w:ascii="仿宋" w:hAnsi="仿宋" w:eastAsia="仿宋" w:cs="仿宋"/>
                <w:sz w:val="32"/>
                <w:szCs w:val="32"/>
                <w:lang w:val="en-US" w:eastAsia="zh-CN"/>
              </w:rPr>
            </w:pPr>
            <w:r>
              <w:rPr>
                <w:rFonts w:hint="eastAsia" w:ascii="仿宋" w:hAnsi="仿宋" w:eastAsia="仿宋" w:cs="仿宋"/>
                <w:spacing w:val="1"/>
                <w:sz w:val="32"/>
                <w:szCs w:val="32"/>
                <w:lang w:eastAsia="zh-CN"/>
              </w:rPr>
              <w:t>乐亭县</w:t>
            </w:r>
            <w:r>
              <w:rPr>
                <w:rFonts w:hint="eastAsia" w:ascii="仿宋" w:hAnsi="仿宋" w:eastAsia="仿宋" w:cs="仿宋"/>
                <w:spacing w:val="1"/>
                <w:sz w:val="32"/>
                <w:szCs w:val="32"/>
                <w:lang w:val="en-US" w:eastAsia="zh-CN"/>
              </w:rPr>
              <w:t>XXXXX</w:t>
            </w:r>
          </w:p>
        </w:tc>
        <w:tc>
          <w:tcPr>
            <w:tcW w:w="3750" w:type="dxa"/>
            <w:vAlign w:val="top"/>
          </w:tcPr>
          <w:p w14:paraId="568274E7">
            <w:pPr>
              <w:keepNext w:val="0"/>
              <w:keepLines w:val="0"/>
              <w:pageBreakBefore w:val="0"/>
              <w:widowControl/>
              <w:kinsoku w:val="0"/>
              <w:wordWrap/>
              <w:overflowPunct/>
              <w:topLinePunct w:val="0"/>
              <w:autoSpaceDE w:val="0"/>
              <w:autoSpaceDN w:val="0"/>
              <w:bidi w:val="0"/>
              <w:adjustRightInd w:val="0"/>
              <w:snapToGrid w:val="0"/>
              <w:spacing w:before="240" w:line="500" w:lineRule="exact"/>
              <w:textAlignment w:val="baseline"/>
              <w:rPr>
                <w:rFonts w:hint="default" w:ascii="仿宋" w:hAnsi="仿宋" w:eastAsia="仿宋" w:cs="仿宋"/>
                <w:sz w:val="32"/>
                <w:szCs w:val="32"/>
                <w:lang w:val="en-US" w:eastAsia="zh-CN"/>
              </w:rPr>
            </w:pPr>
            <w:r>
              <w:rPr>
                <w:rFonts w:hint="eastAsia" w:ascii="仿宋" w:hAnsi="仿宋" w:eastAsia="仿宋" w:cs="仿宋"/>
                <w:spacing w:val="-1"/>
                <w:sz w:val="32"/>
                <w:szCs w:val="32"/>
                <w:lang w:val="en-US" w:eastAsia="zh-CN"/>
              </w:rPr>
              <w:t>身份证：</w:t>
            </w:r>
            <w:r>
              <w:rPr>
                <w:rFonts w:hint="eastAsia" w:ascii="仿宋" w:hAnsi="仿宋" w:eastAsia="仿宋" w:cs="仿宋"/>
                <w:spacing w:val="-1"/>
                <w:sz w:val="32"/>
                <w:szCs w:val="32"/>
              </w:rPr>
              <w:t>130</w:t>
            </w:r>
            <w:r>
              <w:rPr>
                <w:rFonts w:hint="eastAsia" w:ascii="仿宋" w:hAnsi="仿宋" w:eastAsia="仿宋" w:cs="仿宋"/>
                <w:spacing w:val="-1"/>
                <w:sz w:val="32"/>
                <w:szCs w:val="32"/>
                <w:lang w:val="en-US" w:eastAsia="zh-CN"/>
              </w:rPr>
              <w:t>226XXXXXXXX</w:t>
            </w:r>
          </w:p>
        </w:tc>
      </w:tr>
    </w:tbl>
    <w:p w14:paraId="0C1CECDB">
      <w:pPr>
        <w:keepNext w:val="0"/>
        <w:keepLines w:val="0"/>
        <w:pageBreakBefore w:val="0"/>
        <w:widowControl w:val="0"/>
        <w:numPr>
          <w:ilvl w:val="0"/>
          <w:numId w:val="1"/>
        </w:numPr>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有限合伙人</w:t>
      </w:r>
    </w:p>
    <w:tbl>
      <w:tblPr>
        <w:tblStyle w:val="6"/>
        <w:tblW w:w="891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72"/>
        <w:gridCol w:w="3196"/>
        <w:gridCol w:w="3750"/>
      </w:tblGrid>
      <w:tr w14:paraId="79F691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trPr>
        <w:tc>
          <w:tcPr>
            <w:tcW w:w="1972" w:type="dxa"/>
            <w:vAlign w:val="top"/>
          </w:tcPr>
          <w:p w14:paraId="534A9DBE">
            <w:pPr>
              <w:pStyle w:val="5"/>
              <w:keepNext w:val="0"/>
              <w:keepLines w:val="0"/>
              <w:pageBreakBefore w:val="0"/>
              <w:widowControl/>
              <w:kinsoku w:val="0"/>
              <w:wordWrap/>
              <w:overflowPunct/>
              <w:topLinePunct w:val="0"/>
              <w:autoSpaceDE w:val="0"/>
              <w:autoSpaceDN w:val="0"/>
              <w:bidi w:val="0"/>
              <w:adjustRightInd w:val="0"/>
              <w:snapToGrid w:val="0"/>
              <w:spacing w:before="213" w:line="500" w:lineRule="exact"/>
              <w:ind w:left="191"/>
              <w:textAlignment w:val="baseline"/>
              <w:rPr>
                <w:rFonts w:hint="eastAsia" w:ascii="仿宋" w:hAnsi="仿宋" w:eastAsia="仿宋" w:cs="仿宋"/>
                <w:sz w:val="32"/>
                <w:szCs w:val="32"/>
              </w:rPr>
            </w:pPr>
            <w:r>
              <w:rPr>
                <w:rFonts w:hint="eastAsia" w:ascii="仿宋" w:hAnsi="仿宋" w:eastAsia="仿宋" w:cs="仿宋"/>
                <w:spacing w:val="1"/>
                <w:sz w:val="32"/>
                <w:szCs w:val="32"/>
              </w:rPr>
              <w:t>合伙人名称或姓名</w:t>
            </w:r>
          </w:p>
        </w:tc>
        <w:tc>
          <w:tcPr>
            <w:tcW w:w="3196" w:type="dxa"/>
            <w:vAlign w:val="top"/>
          </w:tcPr>
          <w:p w14:paraId="5D10BC3E">
            <w:pPr>
              <w:pStyle w:val="5"/>
              <w:keepNext w:val="0"/>
              <w:keepLines w:val="0"/>
              <w:pageBreakBefore w:val="0"/>
              <w:widowControl/>
              <w:kinsoku w:val="0"/>
              <w:wordWrap/>
              <w:overflowPunct/>
              <w:topLinePunct w:val="0"/>
              <w:autoSpaceDE w:val="0"/>
              <w:autoSpaceDN w:val="0"/>
              <w:bidi w:val="0"/>
              <w:adjustRightInd w:val="0"/>
              <w:snapToGrid w:val="0"/>
              <w:spacing w:before="213" w:line="500" w:lineRule="exact"/>
              <w:jc w:val="center"/>
              <w:textAlignment w:val="baseline"/>
              <w:rPr>
                <w:rFonts w:hint="eastAsia" w:ascii="仿宋" w:hAnsi="仿宋" w:eastAsia="仿宋" w:cs="仿宋"/>
                <w:sz w:val="32"/>
                <w:szCs w:val="32"/>
              </w:rPr>
            </w:pPr>
            <w:r>
              <w:rPr>
                <w:rFonts w:hint="eastAsia" w:ascii="仿宋" w:hAnsi="仿宋" w:eastAsia="仿宋" w:cs="仿宋"/>
                <w:sz w:val="32"/>
                <w:szCs w:val="32"/>
              </w:rPr>
              <w:t>住</w:t>
            </w:r>
            <w:r>
              <w:rPr>
                <w:rFonts w:hint="eastAsia" w:ascii="仿宋" w:hAnsi="仿宋" w:eastAsia="仿宋" w:cs="仿宋"/>
                <w:spacing w:val="46"/>
                <w:sz w:val="32"/>
                <w:szCs w:val="32"/>
              </w:rPr>
              <w:t xml:space="preserve"> </w:t>
            </w:r>
            <w:r>
              <w:rPr>
                <w:rFonts w:hint="eastAsia" w:ascii="仿宋" w:hAnsi="仿宋" w:eastAsia="仿宋" w:cs="仿宋"/>
                <w:sz w:val="32"/>
                <w:szCs w:val="32"/>
              </w:rPr>
              <w:t>所</w:t>
            </w:r>
          </w:p>
        </w:tc>
        <w:tc>
          <w:tcPr>
            <w:tcW w:w="3750" w:type="dxa"/>
            <w:vAlign w:val="top"/>
          </w:tcPr>
          <w:p w14:paraId="21E9E8E9">
            <w:pPr>
              <w:pStyle w:val="5"/>
              <w:keepNext w:val="0"/>
              <w:keepLines w:val="0"/>
              <w:pageBreakBefore w:val="0"/>
              <w:widowControl/>
              <w:kinsoku w:val="0"/>
              <w:wordWrap/>
              <w:overflowPunct/>
              <w:topLinePunct w:val="0"/>
              <w:autoSpaceDE w:val="0"/>
              <w:autoSpaceDN w:val="0"/>
              <w:bidi w:val="0"/>
              <w:adjustRightInd w:val="0"/>
              <w:snapToGrid w:val="0"/>
              <w:spacing w:before="214" w:line="500" w:lineRule="exact"/>
              <w:jc w:val="center"/>
              <w:textAlignment w:val="baseline"/>
              <w:rPr>
                <w:rFonts w:hint="eastAsia" w:ascii="仿宋" w:hAnsi="仿宋" w:eastAsia="仿宋" w:cs="仿宋"/>
                <w:sz w:val="32"/>
                <w:szCs w:val="32"/>
              </w:rPr>
            </w:pPr>
            <w:r>
              <w:rPr>
                <w:rFonts w:hint="eastAsia" w:ascii="仿宋" w:hAnsi="仿宋" w:eastAsia="仿宋" w:cs="仿宋"/>
                <w:spacing w:val="1"/>
                <w:sz w:val="32"/>
                <w:szCs w:val="32"/>
              </w:rPr>
              <w:t>证件类型及号码</w:t>
            </w:r>
          </w:p>
        </w:tc>
      </w:tr>
      <w:tr w14:paraId="06010B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972" w:type="dxa"/>
            <w:vAlign w:val="top"/>
          </w:tcPr>
          <w:p w14:paraId="491A3FC4">
            <w:pPr>
              <w:pStyle w:val="5"/>
              <w:keepNext w:val="0"/>
              <w:keepLines w:val="0"/>
              <w:pageBreakBefore w:val="0"/>
              <w:widowControl/>
              <w:kinsoku w:val="0"/>
              <w:wordWrap/>
              <w:overflowPunct/>
              <w:topLinePunct w:val="0"/>
              <w:autoSpaceDE w:val="0"/>
              <w:autoSpaceDN w:val="0"/>
              <w:bidi w:val="0"/>
              <w:adjustRightInd w:val="0"/>
              <w:snapToGrid w:val="0"/>
              <w:spacing w:before="211" w:line="500" w:lineRule="exact"/>
              <w:jc w:val="center"/>
              <w:textAlignment w:val="baseline"/>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乐亭县XX科技有限公司</w:t>
            </w:r>
          </w:p>
        </w:tc>
        <w:tc>
          <w:tcPr>
            <w:tcW w:w="3196" w:type="dxa"/>
            <w:vAlign w:val="top"/>
          </w:tcPr>
          <w:p w14:paraId="457A9AA3">
            <w:pPr>
              <w:pStyle w:val="5"/>
              <w:keepNext w:val="0"/>
              <w:keepLines w:val="0"/>
              <w:pageBreakBefore w:val="0"/>
              <w:widowControl/>
              <w:kinsoku w:val="0"/>
              <w:wordWrap/>
              <w:overflowPunct/>
              <w:topLinePunct w:val="0"/>
              <w:autoSpaceDE w:val="0"/>
              <w:autoSpaceDN w:val="0"/>
              <w:bidi w:val="0"/>
              <w:adjustRightInd w:val="0"/>
              <w:snapToGrid w:val="0"/>
              <w:spacing w:before="187" w:line="500" w:lineRule="exact"/>
              <w:textAlignment w:val="baseline"/>
              <w:rPr>
                <w:rFonts w:hint="default" w:ascii="仿宋" w:hAnsi="仿宋" w:eastAsia="仿宋" w:cs="仿宋"/>
                <w:sz w:val="32"/>
                <w:szCs w:val="32"/>
                <w:lang w:val="en-US" w:eastAsia="zh-CN"/>
              </w:rPr>
            </w:pPr>
            <w:r>
              <w:rPr>
                <w:rFonts w:hint="eastAsia" w:ascii="仿宋" w:hAnsi="仿宋" w:eastAsia="仿宋" w:cs="仿宋"/>
                <w:spacing w:val="1"/>
                <w:sz w:val="32"/>
                <w:szCs w:val="32"/>
                <w:lang w:eastAsia="zh-CN"/>
              </w:rPr>
              <w:t>乐亭县</w:t>
            </w:r>
            <w:r>
              <w:rPr>
                <w:rFonts w:hint="eastAsia" w:ascii="仿宋" w:hAnsi="仿宋" w:eastAsia="仿宋" w:cs="仿宋"/>
                <w:spacing w:val="1"/>
                <w:sz w:val="32"/>
                <w:szCs w:val="32"/>
                <w:lang w:val="en-US" w:eastAsia="zh-CN"/>
              </w:rPr>
              <w:t>XXXXX</w:t>
            </w:r>
          </w:p>
        </w:tc>
        <w:tc>
          <w:tcPr>
            <w:tcW w:w="3750" w:type="dxa"/>
            <w:vAlign w:val="top"/>
          </w:tcPr>
          <w:p w14:paraId="5722A4E1">
            <w:pPr>
              <w:keepNext w:val="0"/>
              <w:keepLines w:val="0"/>
              <w:pageBreakBefore w:val="0"/>
              <w:widowControl/>
              <w:kinsoku w:val="0"/>
              <w:wordWrap/>
              <w:overflowPunct/>
              <w:topLinePunct w:val="0"/>
              <w:autoSpaceDE w:val="0"/>
              <w:autoSpaceDN w:val="0"/>
              <w:bidi w:val="0"/>
              <w:adjustRightInd w:val="0"/>
              <w:snapToGrid w:val="0"/>
              <w:spacing w:before="240" w:line="500" w:lineRule="exact"/>
              <w:textAlignment w:val="baseline"/>
              <w:rPr>
                <w:rFonts w:hint="default" w:ascii="仿宋" w:hAnsi="仿宋" w:eastAsia="仿宋" w:cs="仿宋"/>
                <w:sz w:val="32"/>
                <w:szCs w:val="32"/>
                <w:lang w:val="en-US" w:eastAsia="zh-CN"/>
              </w:rPr>
            </w:pPr>
            <w:r>
              <w:rPr>
                <w:rFonts w:hint="eastAsia" w:ascii="仿宋" w:hAnsi="仿宋" w:eastAsia="仿宋" w:cs="仿宋"/>
                <w:spacing w:val="-1"/>
                <w:sz w:val="32"/>
                <w:szCs w:val="32"/>
                <w:lang w:val="en-US" w:eastAsia="zh-CN"/>
              </w:rPr>
              <w:t>营业执照：91</w:t>
            </w:r>
            <w:r>
              <w:rPr>
                <w:rFonts w:hint="eastAsia" w:ascii="仿宋" w:hAnsi="仿宋" w:eastAsia="仿宋" w:cs="仿宋"/>
                <w:spacing w:val="-1"/>
                <w:sz w:val="32"/>
                <w:szCs w:val="32"/>
              </w:rPr>
              <w:t>130</w:t>
            </w:r>
            <w:r>
              <w:rPr>
                <w:rFonts w:hint="eastAsia" w:ascii="仿宋" w:hAnsi="仿宋" w:eastAsia="仿宋" w:cs="仿宋"/>
                <w:spacing w:val="-1"/>
                <w:sz w:val="32"/>
                <w:szCs w:val="32"/>
                <w:lang w:val="en-US" w:eastAsia="zh-CN"/>
              </w:rPr>
              <w:t>283XXX</w:t>
            </w:r>
          </w:p>
        </w:tc>
      </w:tr>
    </w:tbl>
    <w:p w14:paraId="0B43F470">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32"/>
          <w:szCs w:val="32"/>
        </w:rPr>
      </w:pPr>
      <w:r>
        <w:rPr>
          <w:rFonts w:hint="eastAsia" w:ascii="仿宋" w:hAnsi="仿宋" w:eastAsia="仿宋" w:cs="仿宋"/>
          <w:b/>
          <w:bCs/>
          <w:sz w:val="32"/>
          <w:szCs w:val="32"/>
        </w:rPr>
        <w:t>第五章 合伙人的出资方式、数额和缴付期限</w:t>
      </w:r>
    </w:p>
    <w:p w14:paraId="75E515B1">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第十条 合伙人的出资方式、数额和缴付期限：</w:t>
      </w:r>
    </w:p>
    <w:p w14:paraId="61B4D185">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单位：万元</w:t>
      </w:r>
    </w:p>
    <w:tbl>
      <w:tblPr>
        <w:tblStyle w:val="6"/>
        <w:tblW w:w="893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92"/>
        <w:gridCol w:w="981"/>
        <w:gridCol w:w="1107"/>
        <w:gridCol w:w="946"/>
        <w:gridCol w:w="1223"/>
        <w:gridCol w:w="1189"/>
        <w:gridCol w:w="1084"/>
        <w:gridCol w:w="1108"/>
      </w:tblGrid>
      <w:tr w14:paraId="52800D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39" w:hRule="atLeast"/>
        </w:trPr>
        <w:tc>
          <w:tcPr>
            <w:tcW w:w="1292" w:type="dxa"/>
            <w:vAlign w:val="top"/>
          </w:tcPr>
          <w:p w14:paraId="6F85CEC6">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391369A6">
            <w:pPr>
              <w:pStyle w:val="5"/>
              <w:keepNext w:val="0"/>
              <w:keepLines w:val="0"/>
              <w:pageBreakBefore w:val="0"/>
              <w:widowControl/>
              <w:kinsoku w:val="0"/>
              <w:wordWrap/>
              <w:overflowPunct/>
              <w:topLinePunct w:val="0"/>
              <w:autoSpaceDE w:val="0"/>
              <w:autoSpaceDN w:val="0"/>
              <w:bidi w:val="0"/>
              <w:adjustRightInd w:val="0"/>
              <w:snapToGrid w:val="0"/>
              <w:spacing w:before="82" w:line="500" w:lineRule="exact"/>
              <w:ind w:left="215"/>
              <w:textAlignment w:val="baseline"/>
              <w:rPr>
                <w:rFonts w:hint="eastAsia" w:ascii="仿宋" w:hAnsi="仿宋" w:eastAsia="仿宋" w:cs="仿宋"/>
                <w:sz w:val="32"/>
                <w:szCs w:val="32"/>
              </w:rPr>
            </w:pPr>
            <w:r>
              <w:rPr>
                <w:rFonts w:hint="eastAsia" w:ascii="仿宋" w:hAnsi="仿宋" w:eastAsia="仿宋" w:cs="仿宋"/>
                <w:sz w:val="32"/>
                <w:szCs w:val="32"/>
              </w:rPr>
              <w:t>合伙人名</w:t>
            </w:r>
            <w:r>
              <w:rPr>
                <w:rFonts w:hint="eastAsia" w:ascii="仿宋" w:hAnsi="仿宋" w:eastAsia="仿宋" w:cs="仿宋"/>
                <w:spacing w:val="1"/>
                <w:sz w:val="32"/>
                <w:szCs w:val="32"/>
              </w:rPr>
              <w:t>称或姓名</w:t>
            </w:r>
          </w:p>
        </w:tc>
        <w:tc>
          <w:tcPr>
            <w:tcW w:w="981" w:type="dxa"/>
            <w:vAlign w:val="top"/>
          </w:tcPr>
          <w:p w14:paraId="42C8D1B5">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4FC28DB7">
            <w:pPr>
              <w:pStyle w:val="5"/>
              <w:keepNext w:val="0"/>
              <w:keepLines w:val="0"/>
              <w:pageBreakBefore w:val="0"/>
              <w:widowControl/>
              <w:kinsoku w:val="0"/>
              <w:wordWrap/>
              <w:overflowPunct/>
              <w:topLinePunct w:val="0"/>
              <w:autoSpaceDE w:val="0"/>
              <w:autoSpaceDN w:val="0"/>
              <w:bidi w:val="0"/>
              <w:adjustRightInd w:val="0"/>
              <w:snapToGrid w:val="0"/>
              <w:spacing w:before="82" w:line="500" w:lineRule="exact"/>
              <w:ind w:right="214"/>
              <w:textAlignment w:val="baseline"/>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承担责任方式</w:t>
            </w:r>
          </w:p>
        </w:tc>
        <w:tc>
          <w:tcPr>
            <w:tcW w:w="1107" w:type="dxa"/>
            <w:vAlign w:val="top"/>
          </w:tcPr>
          <w:p w14:paraId="5064F62D">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20116005">
            <w:pPr>
              <w:pStyle w:val="5"/>
              <w:keepNext w:val="0"/>
              <w:keepLines w:val="0"/>
              <w:pageBreakBefore w:val="0"/>
              <w:widowControl/>
              <w:kinsoku w:val="0"/>
              <w:wordWrap/>
              <w:overflowPunct/>
              <w:topLinePunct w:val="0"/>
              <w:autoSpaceDE w:val="0"/>
              <w:autoSpaceDN w:val="0"/>
              <w:bidi w:val="0"/>
              <w:adjustRightInd w:val="0"/>
              <w:snapToGrid w:val="0"/>
              <w:spacing w:before="81" w:line="500" w:lineRule="exact"/>
              <w:ind w:left="220"/>
              <w:textAlignment w:val="baseline"/>
              <w:rPr>
                <w:rFonts w:hint="eastAsia" w:ascii="仿宋" w:hAnsi="仿宋" w:eastAsia="仿宋" w:cs="仿宋"/>
                <w:spacing w:val="-2"/>
                <w:sz w:val="32"/>
                <w:szCs w:val="32"/>
              </w:rPr>
            </w:pPr>
            <w:r>
              <w:rPr>
                <w:rFonts w:hint="eastAsia" w:ascii="仿宋" w:hAnsi="仿宋" w:eastAsia="仿宋" w:cs="仿宋"/>
                <w:spacing w:val="-2"/>
                <w:sz w:val="32"/>
                <w:szCs w:val="32"/>
              </w:rPr>
              <w:t>出资</w:t>
            </w:r>
          </w:p>
          <w:p w14:paraId="08C44098">
            <w:pPr>
              <w:pStyle w:val="5"/>
              <w:keepNext w:val="0"/>
              <w:keepLines w:val="0"/>
              <w:pageBreakBefore w:val="0"/>
              <w:widowControl/>
              <w:kinsoku w:val="0"/>
              <w:wordWrap/>
              <w:overflowPunct/>
              <w:topLinePunct w:val="0"/>
              <w:autoSpaceDE w:val="0"/>
              <w:autoSpaceDN w:val="0"/>
              <w:bidi w:val="0"/>
              <w:adjustRightInd w:val="0"/>
              <w:snapToGrid w:val="0"/>
              <w:spacing w:before="81" w:line="500" w:lineRule="exact"/>
              <w:ind w:left="220"/>
              <w:textAlignment w:val="baseline"/>
              <w:rPr>
                <w:rFonts w:hint="eastAsia" w:ascii="仿宋" w:hAnsi="仿宋" w:eastAsia="仿宋" w:cs="仿宋"/>
                <w:sz w:val="32"/>
                <w:szCs w:val="32"/>
              </w:rPr>
            </w:pPr>
            <w:r>
              <w:rPr>
                <w:rFonts w:hint="eastAsia" w:ascii="仿宋" w:hAnsi="仿宋" w:eastAsia="仿宋" w:cs="仿宋"/>
                <w:spacing w:val="-2"/>
                <w:sz w:val="32"/>
                <w:szCs w:val="32"/>
              </w:rPr>
              <w:t>方式</w:t>
            </w:r>
          </w:p>
        </w:tc>
        <w:tc>
          <w:tcPr>
            <w:tcW w:w="946" w:type="dxa"/>
            <w:vAlign w:val="top"/>
          </w:tcPr>
          <w:p w14:paraId="7B1161D8">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2932216D">
            <w:pPr>
              <w:pStyle w:val="5"/>
              <w:keepNext w:val="0"/>
              <w:keepLines w:val="0"/>
              <w:pageBreakBefore w:val="0"/>
              <w:widowControl/>
              <w:kinsoku w:val="0"/>
              <w:wordWrap/>
              <w:overflowPunct/>
              <w:topLinePunct w:val="0"/>
              <w:autoSpaceDE w:val="0"/>
              <w:autoSpaceDN w:val="0"/>
              <w:bidi w:val="0"/>
              <w:adjustRightInd w:val="0"/>
              <w:snapToGrid w:val="0"/>
              <w:spacing w:before="81" w:line="500" w:lineRule="exact"/>
              <w:ind w:left="211"/>
              <w:textAlignment w:val="baseline"/>
              <w:rPr>
                <w:rFonts w:hint="eastAsia" w:ascii="仿宋" w:hAnsi="仿宋" w:eastAsia="仿宋" w:cs="仿宋"/>
                <w:sz w:val="32"/>
                <w:szCs w:val="32"/>
              </w:rPr>
            </w:pPr>
            <w:r>
              <w:rPr>
                <w:rFonts w:hint="eastAsia" w:ascii="仿宋" w:hAnsi="仿宋" w:eastAsia="仿宋" w:cs="仿宋"/>
                <w:spacing w:val="1"/>
                <w:sz w:val="32"/>
                <w:szCs w:val="32"/>
              </w:rPr>
              <w:t>评估方式</w:t>
            </w:r>
          </w:p>
        </w:tc>
        <w:tc>
          <w:tcPr>
            <w:tcW w:w="1223" w:type="dxa"/>
            <w:vAlign w:val="top"/>
          </w:tcPr>
          <w:p w14:paraId="017A7A80">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298339BC">
            <w:pPr>
              <w:pStyle w:val="5"/>
              <w:keepNext w:val="0"/>
              <w:keepLines w:val="0"/>
              <w:pageBreakBefore w:val="0"/>
              <w:widowControl/>
              <w:kinsoku w:val="0"/>
              <w:wordWrap/>
              <w:overflowPunct/>
              <w:topLinePunct w:val="0"/>
              <w:autoSpaceDE w:val="0"/>
              <w:autoSpaceDN w:val="0"/>
              <w:bidi w:val="0"/>
              <w:adjustRightInd w:val="0"/>
              <w:snapToGrid w:val="0"/>
              <w:spacing w:before="82" w:line="500" w:lineRule="exact"/>
              <w:ind w:left="223" w:right="210" w:firstLine="85"/>
              <w:textAlignment w:val="baseline"/>
              <w:rPr>
                <w:rFonts w:hint="eastAsia" w:ascii="仿宋" w:hAnsi="仿宋" w:eastAsia="仿宋" w:cs="仿宋"/>
                <w:sz w:val="32"/>
                <w:szCs w:val="32"/>
              </w:rPr>
            </w:pPr>
            <w:r>
              <w:rPr>
                <w:rFonts w:hint="eastAsia" w:ascii="仿宋" w:hAnsi="仿宋" w:eastAsia="仿宋" w:cs="仿宋"/>
                <w:sz w:val="32"/>
                <w:szCs w:val="32"/>
              </w:rPr>
              <w:t>认缴</w:t>
            </w:r>
            <w:r>
              <w:rPr>
                <w:rFonts w:hint="eastAsia" w:ascii="仿宋" w:hAnsi="仿宋" w:eastAsia="仿宋" w:cs="仿宋"/>
                <w:spacing w:val="-3"/>
                <w:sz w:val="32"/>
                <w:szCs w:val="32"/>
              </w:rPr>
              <w:t>出资额</w:t>
            </w:r>
          </w:p>
        </w:tc>
        <w:tc>
          <w:tcPr>
            <w:tcW w:w="1189" w:type="dxa"/>
            <w:vAlign w:val="top"/>
          </w:tcPr>
          <w:p w14:paraId="6E33BFD2">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35928C64">
            <w:pPr>
              <w:pStyle w:val="5"/>
              <w:keepNext w:val="0"/>
              <w:keepLines w:val="0"/>
              <w:pageBreakBefore w:val="0"/>
              <w:widowControl/>
              <w:kinsoku w:val="0"/>
              <w:wordWrap/>
              <w:overflowPunct/>
              <w:topLinePunct w:val="0"/>
              <w:autoSpaceDE w:val="0"/>
              <w:autoSpaceDN w:val="0"/>
              <w:bidi w:val="0"/>
              <w:adjustRightInd w:val="0"/>
              <w:snapToGrid w:val="0"/>
              <w:spacing w:before="82" w:line="500" w:lineRule="exact"/>
              <w:ind w:left="319" w:leftChars="152" w:right="203" w:firstLine="0" w:firstLineChars="0"/>
              <w:textAlignment w:val="baseline"/>
              <w:rPr>
                <w:rFonts w:hint="eastAsia" w:ascii="仿宋" w:hAnsi="仿宋" w:eastAsia="仿宋" w:cs="仿宋"/>
                <w:sz w:val="32"/>
                <w:szCs w:val="32"/>
              </w:rPr>
            </w:pPr>
            <w:r>
              <w:rPr>
                <w:rFonts w:hint="eastAsia" w:ascii="仿宋" w:hAnsi="仿宋" w:eastAsia="仿宋" w:cs="仿宋"/>
                <w:spacing w:val="-4"/>
                <w:sz w:val="32"/>
                <w:szCs w:val="32"/>
              </w:rPr>
              <w:t>实缴</w:t>
            </w:r>
            <w:r>
              <w:rPr>
                <w:rFonts w:hint="eastAsia" w:ascii="仿宋" w:hAnsi="仿宋" w:eastAsia="仿宋" w:cs="仿宋"/>
                <w:spacing w:val="-3"/>
                <w:sz w:val="32"/>
                <w:szCs w:val="32"/>
              </w:rPr>
              <w:t>出资额</w:t>
            </w:r>
          </w:p>
        </w:tc>
        <w:tc>
          <w:tcPr>
            <w:tcW w:w="1084" w:type="dxa"/>
            <w:vAlign w:val="top"/>
          </w:tcPr>
          <w:p w14:paraId="20EBCC1F">
            <w:pPr>
              <w:pStyle w:val="5"/>
              <w:keepNext w:val="0"/>
              <w:keepLines w:val="0"/>
              <w:pageBreakBefore w:val="0"/>
              <w:widowControl/>
              <w:kinsoku w:val="0"/>
              <w:wordWrap/>
              <w:overflowPunct/>
              <w:topLinePunct w:val="0"/>
              <w:autoSpaceDE w:val="0"/>
              <w:autoSpaceDN w:val="0"/>
              <w:bidi w:val="0"/>
              <w:adjustRightInd w:val="0"/>
              <w:snapToGrid w:val="0"/>
              <w:spacing w:before="189" w:line="500" w:lineRule="exact"/>
              <w:ind w:left="220"/>
              <w:textAlignment w:val="baseline"/>
              <w:rPr>
                <w:rFonts w:hint="eastAsia" w:ascii="仿宋" w:hAnsi="仿宋" w:eastAsia="仿宋" w:cs="仿宋"/>
                <w:sz w:val="32"/>
                <w:szCs w:val="32"/>
              </w:rPr>
            </w:pPr>
            <w:r>
              <w:rPr>
                <w:rFonts w:hint="eastAsia" w:ascii="仿宋" w:hAnsi="仿宋" w:eastAsia="仿宋" w:cs="仿宋"/>
                <w:spacing w:val="-3"/>
                <w:sz w:val="32"/>
                <w:szCs w:val="32"/>
              </w:rPr>
              <w:t>出资比</w:t>
            </w:r>
            <w:r>
              <w:rPr>
                <w:rFonts w:hint="eastAsia" w:ascii="仿宋" w:hAnsi="仿宋" w:eastAsia="仿宋" w:cs="仿宋"/>
                <w:sz w:val="32"/>
                <w:szCs w:val="32"/>
              </w:rPr>
              <w:t>例</w:t>
            </w:r>
          </w:p>
          <w:p w14:paraId="6BD27A5A">
            <w:pPr>
              <w:pStyle w:val="5"/>
              <w:keepNext w:val="0"/>
              <w:keepLines w:val="0"/>
              <w:pageBreakBefore w:val="0"/>
              <w:widowControl/>
              <w:kinsoku w:val="0"/>
              <w:wordWrap/>
              <w:overflowPunct/>
              <w:topLinePunct w:val="0"/>
              <w:autoSpaceDE w:val="0"/>
              <w:autoSpaceDN w:val="0"/>
              <w:bidi w:val="0"/>
              <w:adjustRightInd w:val="0"/>
              <w:snapToGrid w:val="0"/>
              <w:spacing w:before="63" w:line="500" w:lineRule="exact"/>
              <w:ind w:firstLine="320" w:firstLineChars="100"/>
              <w:textAlignment w:val="baseline"/>
              <w:rPr>
                <w:rFonts w:hint="eastAsia" w:ascii="仿宋" w:hAnsi="仿宋" w:eastAsia="仿宋" w:cs="仿宋"/>
                <w:sz w:val="32"/>
                <w:szCs w:val="32"/>
              </w:rPr>
            </w:pPr>
          </w:p>
        </w:tc>
        <w:tc>
          <w:tcPr>
            <w:tcW w:w="1108" w:type="dxa"/>
            <w:vAlign w:val="top"/>
          </w:tcPr>
          <w:p w14:paraId="06B36324">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7B25E86F">
            <w:pPr>
              <w:pStyle w:val="5"/>
              <w:keepNext w:val="0"/>
              <w:keepLines w:val="0"/>
              <w:pageBreakBefore w:val="0"/>
              <w:widowControl/>
              <w:kinsoku w:val="0"/>
              <w:wordWrap/>
              <w:overflowPunct/>
              <w:topLinePunct w:val="0"/>
              <w:autoSpaceDE w:val="0"/>
              <w:autoSpaceDN w:val="0"/>
              <w:bidi w:val="0"/>
              <w:adjustRightInd w:val="0"/>
              <w:snapToGrid w:val="0"/>
              <w:spacing w:before="82" w:line="500" w:lineRule="exact"/>
              <w:textAlignment w:val="baseline"/>
              <w:rPr>
                <w:rFonts w:hint="eastAsia" w:ascii="仿宋" w:hAnsi="仿宋" w:eastAsia="仿宋" w:cs="仿宋"/>
                <w:sz w:val="32"/>
                <w:szCs w:val="32"/>
              </w:rPr>
            </w:pPr>
            <w:r>
              <w:rPr>
                <w:rFonts w:hint="eastAsia" w:ascii="仿宋" w:hAnsi="仿宋" w:eastAsia="仿宋" w:cs="仿宋"/>
                <w:spacing w:val="1"/>
                <w:sz w:val="32"/>
                <w:szCs w:val="32"/>
              </w:rPr>
              <w:t>缴付期限</w:t>
            </w:r>
          </w:p>
        </w:tc>
      </w:tr>
      <w:tr w14:paraId="33ABB2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53" w:hRule="atLeast"/>
        </w:trPr>
        <w:tc>
          <w:tcPr>
            <w:tcW w:w="1292" w:type="dxa"/>
            <w:vAlign w:val="top"/>
          </w:tcPr>
          <w:p w14:paraId="6AAE420E">
            <w:pPr>
              <w:pStyle w:val="5"/>
              <w:keepNext w:val="0"/>
              <w:keepLines w:val="0"/>
              <w:pageBreakBefore w:val="0"/>
              <w:widowControl/>
              <w:kinsoku w:val="0"/>
              <w:wordWrap/>
              <w:overflowPunct/>
              <w:topLinePunct w:val="0"/>
              <w:autoSpaceDE w:val="0"/>
              <w:autoSpaceDN w:val="0"/>
              <w:bidi w:val="0"/>
              <w:adjustRightInd w:val="0"/>
              <w:snapToGrid w:val="0"/>
              <w:spacing w:before="212" w:line="500" w:lineRule="exact"/>
              <w:ind w:left="406"/>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t>林XX</w:t>
            </w:r>
          </w:p>
        </w:tc>
        <w:tc>
          <w:tcPr>
            <w:tcW w:w="981" w:type="dxa"/>
            <w:vAlign w:val="top"/>
          </w:tcPr>
          <w:p w14:paraId="03F73C9F">
            <w:pPr>
              <w:pStyle w:val="5"/>
              <w:keepNext w:val="0"/>
              <w:keepLines w:val="0"/>
              <w:pageBreakBefore w:val="0"/>
              <w:widowControl/>
              <w:kinsoku w:val="0"/>
              <w:wordWrap/>
              <w:overflowPunct/>
              <w:topLinePunct w:val="0"/>
              <w:autoSpaceDE w:val="0"/>
              <w:autoSpaceDN w:val="0"/>
              <w:bidi w:val="0"/>
              <w:adjustRightInd w:val="0"/>
              <w:snapToGrid w:val="0"/>
              <w:spacing w:before="188" w:line="500" w:lineRule="exact"/>
              <w:ind w:left="214"/>
              <w:textAlignment w:val="baseline"/>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无限责任</w:t>
            </w:r>
          </w:p>
        </w:tc>
        <w:tc>
          <w:tcPr>
            <w:tcW w:w="1107" w:type="dxa"/>
            <w:vAlign w:val="top"/>
          </w:tcPr>
          <w:p w14:paraId="181A458F">
            <w:pPr>
              <w:pStyle w:val="5"/>
              <w:keepNext w:val="0"/>
              <w:keepLines w:val="0"/>
              <w:pageBreakBefore w:val="0"/>
              <w:widowControl/>
              <w:kinsoku w:val="0"/>
              <w:wordWrap/>
              <w:overflowPunct/>
              <w:topLinePunct w:val="0"/>
              <w:autoSpaceDE w:val="0"/>
              <w:autoSpaceDN w:val="0"/>
              <w:bidi w:val="0"/>
              <w:adjustRightInd w:val="0"/>
              <w:snapToGrid w:val="0"/>
              <w:spacing w:before="188" w:line="500" w:lineRule="exact"/>
              <w:textAlignment w:val="baseline"/>
              <w:rPr>
                <w:rFonts w:hint="eastAsia" w:ascii="仿宋" w:hAnsi="仿宋" w:eastAsia="仿宋" w:cs="仿宋"/>
                <w:sz w:val="32"/>
                <w:szCs w:val="32"/>
              </w:rPr>
            </w:pPr>
            <w:r>
              <w:rPr>
                <w:rFonts w:hint="eastAsia" w:ascii="仿宋" w:hAnsi="仿宋" w:eastAsia="仿宋" w:cs="仿宋"/>
                <w:spacing w:val="-2"/>
                <w:sz w:val="32"/>
                <w:szCs w:val="32"/>
              </w:rPr>
              <w:t>货币</w:t>
            </w:r>
          </w:p>
        </w:tc>
        <w:tc>
          <w:tcPr>
            <w:tcW w:w="946" w:type="dxa"/>
            <w:vAlign w:val="top"/>
          </w:tcPr>
          <w:p w14:paraId="6D779765">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tc>
        <w:tc>
          <w:tcPr>
            <w:tcW w:w="1223" w:type="dxa"/>
            <w:vAlign w:val="top"/>
          </w:tcPr>
          <w:p w14:paraId="3FBDF8BE">
            <w:pPr>
              <w:keepNext w:val="0"/>
              <w:keepLines w:val="0"/>
              <w:pageBreakBefore w:val="0"/>
              <w:widowControl/>
              <w:kinsoku w:val="0"/>
              <w:wordWrap/>
              <w:overflowPunct/>
              <w:topLinePunct w:val="0"/>
              <w:autoSpaceDE w:val="0"/>
              <w:autoSpaceDN w:val="0"/>
              <w:bidi w:val="0"/>
              <w:adjustRightInd w:val="0"/>
              <w:snapToGrid w:val="0"/>
              <w:spacing w:before="241" w:line="500" w:lineRule="exact"/>
              <w:ind w:left="401"/>
              <w:textAlignment w:val="baseline"/>
              <w:rPr>
                <w:rFonts w:hint="default" w:ascii="仿宋" w:hAnsi="仿宋" w:eastAsia="仿宋" w:cs="仿宋"/>
                <w:sz w:val="32"/>
                <w:szCs w:val="32"/>
                <w:lang w:val="en-US" w:eastAsia="zh-CN"/>
              </w:rPr>
            </w:pPr>
            <w:r>
              <w:rPr>
                <w:rFonts w:hint="eastAsia" w:ascii="仿宋" w:hAnsi="仿宋" w:eastAsia="仿宋" w:cs="仿宋"/>
                <w:spacing w:val="-7"/>
                <w:sz w:val="32"/>
                <w:szCs w:val="32"/>
                <w:lang w:val="en-US" w:eastAsia="zh-CN"/>
              </w:rPr>
              <w:t>10</w:t>
            </w:r>
          </w:p>
        </w:tc>
        <w:tc>
          <w:tcPr>
            <w:tcW w:w="1189" w:type="dxa"/>
            <w:vAlign w:val="top"/>
          </w:tcPr>
          <w:p w14:paraId="589254CB">
            <w:pPr>
              <w:keepNext w:val="0"/>
              <w:keepLines w:val="0"/>
              <w:pageBreakBefore w:val="0"/>
              <w:widowControl/>
              <w:kinsoku w:val="0"/>
              <w:wordWrap/>
              <w:overflowPunct/>
              <w:topLinePunct w:val="0"/>
              <w:autoSpaceDE w:val="0"/>
              <w:autoSpaceDN w:val="0"/>
              <w:bidi w:val="0"/>
              <w:adjustRightInd w:val="0"/>
              <w:snapToGrid w:val="0"/>
              <w:spacing w:before="241" w:line="500" w:lineRule="exact"/>
              <w:ind w:left="397"/>
              <w:textAlignment w:val="baseline"/>
              <w:rPr>
                <w:rFonts w:hint="default" w:ascii="仿宋" w:hAnsi="仿宋" w:eastAsia="仿宋" w:cs="仿宋"/>
                <w:sz w:val="32"/>
                <w:szCs w:val="32"/>
                <w:lang w:val="en-US" w:eastAsia="zh-CN"/>
              </w:rPr>
            </w:pPr>
            <w:r>
              <w:rPr>
                <w:rFonts w:hint="eastAsia" w:ascii="仿宋" w:hAnsi="仿宋" w:eastAsia="仿宋" w:cs="仿宋"/>
                <w:spacing w:val="-7"/>
                <w:sz w:val="32"/>
                <w:szCs w:val="32"/>
                <w:lang w:val="en-US" w:eastAsia="zh-CN"/>
              </w:rPr>
              <w:t>10</w:t>
            </w:r>
          </w:p>
        </w:tc>
        <w:tc>
          <w:tcPr>
            <w:tcW w:w="1084" w:type="dxa"/>
            <w:vAlign w:val="top"/>
          </w:tcPr>
          <w:p w14:paraId="4A4E7500">
            <w:pPr>
              <w:keepNext w:val="0"/>
              <w:keepLines w:val="0"/>
              <w:pageBreakBefore w:val="0"/>
              <w:widowControl/>
              <w:kinsoku w:val="0"/>
              <w:wordWrap/>
              <w:overflowPunct/>
              <w:topLinePunct w:val="0"/>
              <w:autoSpaceDE w:val="0"/>
              <w:autoSpaceDN w:val="0"/>
              <w:bidi w:val="0"/>
              <w:adjustRightInd w:val="0"/>
              <w:snapToGrid w:val="0"/>
              <w:spacing w:before="241" w:line="500" w:lineRule="exact"/>
              <w:ind w:left="337"/>
              <w:textAlignment w:val="baseline"/>
              <w:rPr>
                <w:rFonts w:hint="default" w:ascii="仿宋" w:hAnsi="仿宋" w:eastAsia="仿宋" w:cs="仿宋"/>
                <w:sz w:val="32"/>
                <w:szCs w:val="32"/>
                <w:lang w:val="en-US" w:eastAsia="zh-CN"/>
              </w:rPr>
            </w:pPr>
            <w:r>
              <w:rPr>
                <w:rFonts w:hint="eastAsia" w:ascii="仿宋" w:hAnsi="仿宋" w:eastAsia="仿宋" w:cs="仿宋"/>
                <w:spacing w:val="-2"/>
                <w:sz w:val="32"/>
                <w:szCs w:val="32"/>
                <w:lang w:val="en-US" w:eastAsia="zh-CN"/>
              </w:rPr>
              <w:t>50%</w:t>
            </w:r>
          </w:p>
        </w:tc>
        <w:tc>
          <w:tcPr>
            <w:tcW w:w="1108" w:type="dxa"/>
            <w:vAlign w:val="top"/>
          </w:tcPr>
          <w:p w14:paraId="03E37C02">
            <w:pPr>
              <w:pStyle w:val="5"/>
              <w:keepNext w:val="0"/>
              <w:keepLines w:val="0"/>
              <w:pageBreakBefore w:val="0"/>
              <w:widowControl/>
              <w:kinsoku w:val="0"/>
              <w:wordWrap/>
              <w:overflowPunct/>
              <w:topLinePunct w:val="0"/>
              <w:autoSpaceDE w:val="0"/>
              <w:autoSpaceDN w:val="0"/>
              <w:bidi w:val="0"/>
              <w:adjustRightInd w:val="0"/>
              <w:snapToGrid w:val="0"/>
              <w:spacing w:before="215" w:line="500" w:lineRule="exact"/>
              <w:ind w:left="225"/>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t>X</w:t>
            </w:r>
            <w:r>
              <w:rPr>
                <w:rFonts w:hint="eastAsia" w:ascii="仿宋" w:hAnsi="仿宋" w:eastAsia="仿宋" w:cs="仿宋"/>
                <w:sz w:val="32"/>
                <w:szCs w:val="32"/>
              </w:rPr>
              <w:t>年</w:t>
            </w:r>
            <w:r>
              <w:rPr>
                <w:rFonts w:hint="eastAsia" w:ascii="仿宋" w:hAnsi="仿宋" w:eastAsia="仿宋" w:cs="仿宋"/>
                <w:sz w:val="32"/>
                <w:szCs w:val="32"/>
                <w:lang w:val="en-US" w:eastAsia="zh-CN"/>
              </w:rPr>
              <w:t>X</w:t>
            </w:r>
            <w:r>
              <w:rPr>
                <w:rFonts w:hint="eastAsia" w:ascii="仿宋" w:hAnsi="仿宋" w:eastAsia="仿宋" w:cs="仿宋"/>
                <w:sz w:val="32"/>
                <w:szCs w:val="32"/>
              </w:rPr>
              <w:t>月</w:t>
            </w:r>
            <w:r>
              <w:rPr>
                <w:rFonts w:hint="eastAsia" w:ascii="仿宋" w:hAnsi="仿宋" w:eastAsia="仿宋" w:cs="仿宋"/>
                <w:sz w:val="32"/>
                <w:szCs w:val="32"/>
                <w:lang w:val="en-US" w:eastAsia="zh-CN"/>
              </w:rPr>
              <w:t>X</w:t>
            </w:r>
            <w:r>
              <w:rPr>
                <w:rFonts w:hint="eastAsia" w:ascii="仿宋" w:hAnsi="仿宋" w:eastAsia="仿宋" w:cs="仿宋"/>
                <w:sz w:val="32"/>
                <w:szCs w:val="32"/>
              </w:rPr>
              <w:t>日</w:t>
            </w:r>
          </w:p>
        </w:tc>
      </w:tr>
      <w:tr w14:paraId="1F9709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64" w:hRule="atLeast"/>
        </w:trPr>
        <w:tc>
          <w:tcPr>
            <w:tcW w:w="1292" w:type="dxa"/>
            <w:vAlign w:val="top"/>
          </w:tcPr>
          <w:p w14:paraId="432C1D7E">
            <w:pPr>
              <w:pStyle w:val="5"/>
              <w:keepNext w:val="0"/>
              <w:keepLines w:val="0"/>
              <w:pageBreakBefore w:val="0"/>
              <w:widowControl/>
              <w:kinsoku w:val="0"/>
              <w:wordWrap/>
              <w:overflowPunct/>
              <w:topLinePunct w:val="0"/>
              <w:autoSpaceDE w:val="0"/>
              <w:autoSpaceDN w:val="0"/>
              <w:bidi w:val="0"/>
              <w:adjustRightInd w:val="0"/>
              <w:snapToGrid w:val="0"/>
              <w:spacing w:before="211" w:line="500" w:lineRule="exact"/>
              <w:ind w:left="309"/>
              <w:textAlignment w:val="baseline"/>
              <w:rPr>
                <w:rFonts w:hint="default" w:ascii="仿宋" w:hAnsi="仿宋" w:eastAsia="仿宋" w:cs="仿宋"/>
                <w:sz w:val="32"/>
                <w:szCs w:val="32"/>
                <w:lang w:val="en-US"/>
              </w:rPr>
            </w:pPr>
            <w:r>
              <w:rPr>
                <w:rFonts w:hint="eastAsia" w:ascii="仿宋" w:hAnsi="仿宋" w:eastAsia="仿宋" w:cs="仿宋"/>
                <w:sz w:val="32"/>
                <w:szCs w:val="32"/>
                <w:lang w:val="en-US" w:eastAsia="zh-CN"/>
              </w:rPr>
              <w:t>乐亭县XX科技有限公司</w:t>
            </w:r>
          </w:p>
        </w:tc>
        <w:tc>
          <w:tcPr>
            <w:tcW w:w="981" w:type="dxa"/>
            <w:vAlign w:val="top"/>
          </w:tcPr>
          <w:p w14:paraId="0331191D">
            <w:pPr>
              <w:pStyle w:val="5"/>
              <w:keepNext w:val="0"/>
              <w:keepLines w:val="0"/>
              <w:pageBreakBefore w:val="0"/>
              <w:widowControl/>
              <w:kinsoku w:val="0"/>
              <w:wordWrap/>
              <w:overflowPunct/>
              <w:topLinePunct w:val="0"/>
              <w:autoSpaceDE w:val="0"/>
              <w:autoSpaceDN w:val="0"/>
              <w:bidi w:val="0"/>
              <w:adjustRightInd w:val="0"/>
              <w:snapToGrid w:val="0"/>
              <w:spacing w:before="190" w:line="500" w:lineRule="exact"/>
              <w:ind w:left="214"/>
              <w:textAlignment w:val="baseline"/>
              <w:rPr>
                <w:rFonts w:hint="eastAsia" w:ascii="仿宋" w:hAnsi="仿宋" w:eastAsia="仿宋" w:cs="仿宋"/>
                <w:sz w:val="32"/>
                <w:szCs w:val="32"/>
              </w:rPr>
            </w:pPr>
            <w:r>
              <w:rPr>
                <w:rFonts w:hint="eastAsia" w:ascii="仿宋" w:hAnsi="仿宋" w:eastAsia="仿宋" w:cs="仿宋"/>
                <w:spacing w:val="-1"/>
                <w:sz w:val="32"/>
                <w:szCs w:val="32"/>
                <w:lang w:val="en-US" w:eastAsia="zh-CN"/>
              </w:rPr>
              <w:t>有</w:t>
            </w:r>
            <w:r>
              <w:rPr>
                <w:rFonts w:hint="eastAsia" w:ascii="仿宋" w:hAnsi="仿宋" w:eastAsia="仿宋" w:cs="仿宋"/>
                <w:spacing w:val="-1"/>
                <w:sz w:val="32"/>
                <w:szCs w:val="32"/>
              </w:rPr>
              <w:t>限责任</w:t>
            </w:r>
          </w:p>
        </w:tc>
        <w:tc>
          <w:tcPr>
            <w:tcW w:w="1107" w:type="dxa"/>
            <w:vAlign w:val="top"/>
          </w:tcPr>
          <w:p w14:paraId="47D492AD">
            <w:pPr>
              <w:pStyle w:val="5"/>
              <w:keepNext w:val="0"/>
              <w:keepLines w:val="0"/>
              <w:pageBreakBefore w:val="0"/>
              <w:widowControl/>
              <w:kinsoku w:val="0"/>
              <w:wordWrap/>
              <w:overflowPunct/>
              <w:topLinePunct w:val="0"/>
              <w:autoSpaceDE w:val="0"/>
              <w:autoSpaceDN w:val="0"/>
              <w:bidi w:val="0"/>
              <w:adjustRightInd w:val="0"/>
              <w:snapToGrid w:val="0"/>
              <w:spacing w:before="190" w:line="500" w:lineRule="exact"/>
              <w:textAlignment w:val="baseline"/>
              <w:rPr>
                <w:rFonts w:hint="eastAsia" w:ascii="仿宋" w:hAnsi="仿宋" w:eastAsia="仿宋" w:cs="仿宋"/>
                <w:sz w:val="32"/>
                <w:szCs w:val="32"/>
              </w:rPr>
            </w:pPr>
            <w:r>
              <w:rPr>
                <w:rFonts w:hint="eastAsia" w:ascii="仿宋" w:hAnsi="仿宋" w:eastAsia="仿宋" w:cs="仿宋"/>
                <w:spacing w:val="-2"/>
                <w:sz w:val="32"/>
                <w:szCs w:val="32"/>
              </w:rPr>
              <w:t>货币</w:t>
            </w:r>
          </w:p>
        </w:tc>
        <w:tc>
          <w:tcPr>
            <w:tcW w:w="946" w:type="dxa"/>
            <w:vAlign w:val="top"/>
          </w:tcPr>
          <w:p w14:paraId="0D9F97F2">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tc>
        <w:tc>
          <w:tcPr>
            <w:tcW w:w="1223" w:type="dxa"/>
            <w:vAlign w:val="top"/>
          </w:tcPr>
          <w:p w14:paraId="72EA760A">
            <w:pPr>
              <w:keepNext w:val="0"/>
              <w:keepLines w:val="0"/>
              <w:pageBreakBefore w:val="0"/>
              <w:widowControl/>
              <w:kinsoku w:val="0"/>
              <w:wordWrap/>
              <w:overflowPunct/>
              <w:topLinePunct w:val="0"/>
              <w:autoSpaceDE w:val="0"/>
              <w:autoSpaceDN w:val="0"/>
              <w:bidi w:val="0"/>
              <w:adjustRightInd w:val="0"/>
              <w:snapToGrid w:val="0"/>
              <w:spacing w:before="243" w:line="500" w:lineRule="exact"/>
              <w:ind w:left="401"/>
              <w:textAlignment w:val="baseline"/>
              <w:rPr>
                <w:rFonts w:hint="default" w:ascii="仿宋" w:hAnsi="仿宋" w:eastAsia="仿宋" w:cs="仿宋"/>
                <w:sz w:val="32"/>
                <w:szCs w:val="32"/>
                <w:lang w:val="en-US" w:eastAsia="zh-CN"/>
              </w:rPr>
            </w:pPr>
            <w:r>
              <w:rPr>
                <w:rFonts w:hint="eastAsia" w:ascii="仿宋" w:hAnsi="仿宋" w:eastAsia="仿宋" w:cs="仿宋"/>
                <w:spacing w:val="-7"/>
                <w:sz w:val="32"/>
                <w:szCs w:val="32"/>
                <w:lang w:val="en-US" w:eastAsia="zh-CN"/>
              </w:rPr>
              <w:t>10</w:t>
            </w:r>
          </w:p>
        </w:tc>
        <w:tc>
          <w:tcPr>
            <w:tcW w:w="1189" w:type="dxa"/>
            <w:vAlign w:val="top"/>
          </w:tcPr>
          <w:p w14:paraId="674D9756">
            <w:pPr>
              <w:keepNext w:val="0"/>
              <w:keepLines w:val="0"/>
              <w:pageBreakBefore w:val="0"/>
              <w:widowControl/>
              <w:kinsoku w:val="0"/>
              <w:wordWrap/>
              <w:overflowPunct/>
              <w:topLinePunct w:val="0"/>
              <w:autoSpaceDE w:val="0"/>
              <w:autoSpaceDN w:val="0"/>
              <w:bidi w:val="0"/>
              <w:adjustRightInd w:val="0"/>
              <w:snapToGrid w:val="0"/>
              <w:spacing w:before="243" w:line="500" w:lineRule="exact"/>
              <w:ind w:left="381"/>
              <w:textAlignment w:val="baseline"/>
              <w:rPr>
                <w:rFonts w:hint="default" w:ascii="仿宋" w:hAnsi="仿宋" w:eastAsia="仿宋" w:cs="仿宋"/>
                <w:sz w:val="32"/>
                <w:szCs w:val="32"/>
                <w:lang w:val="en-US" w:eastAsia="zh-CN"/>
              </w:rPr>
            </w:pPr>
            <w:r>
              <w:rPr>
                <w:rFonts w:hint="eastAsia" w:ascii="仿宋" w:hAnsi="仿宋" w:eastAsia="仿宋" w:cs="仿宋"/>
                <w:spacing w:val="-2"/>
                <w:sz w:val="32"/>
                <w:szCs w:val="32"/>
                <w:lang w:val="en-US" w:eastAsia="zh-CN"/>
              </w:rPr>
              <w:t>10</w:t>
            </w:r>
          </w:p>
        </w:tc>
        <w:tc>
          <w:tcPr>
            <w:tcW w:w="1084" w:type="dxa"/>
            <w:vAlign w:val="top"/>
          </w:tcPr>
          <w:p w14:paraId="4882E58E">
            <w:pPr>
              <w:keepNext w:val="0"/>
              <w:keepLines w:val="0"/>
              <w:pageBreakBefore w:val="0"/>
              <w:widowControl/>
              <w:kinsoku w:val="0"/>
              <w:wordWrap/>
              <w:overflowPunct/>
              <w:topLinePunct w:val="0"/>
              <w:autoSpaceDE w:val="0"/>
              <w:autoSpaceDN w:val="0"/>
              <w:bidi w:val="0"/>
              <w:adjustRightInd w:val="0"/>
              <w:snapToGrid w:val="0"/>
              <w:spacing w:before="243" w:line="500" w:lineRule="exact"/>
              <w:ind w:left="337"/>
              <w:textAlignment w:val="baseline"/>
              <w:rPr>
                <w:rFonts w:hint="eastAsia" w:ascii="仿宋" w:hAnsi="仿宋" w:eastAsia="仿宋" w:cs="仿宋"/>
                <w:sz w:val="32"/>
                <w:szCs w:val="32"/>
              </w:rPr>
            </w:pPr>
            <w:r>
              <w:rPr>
                <w:rFonts w:hint="eastAsia" w:ascii="仿宋" w:hAnsi="仿宋" w:eastAsia="仿宋" w:cs="仿宋"/>
                <w:spacing w:val="-2"/>
                <w:sz w:val="32"/>
                <w:szCs w:val="32"/>
                <w:lang w:val="en-US" w:eastAsia="zh-CN"/>
              </w:rPr>
              <w:t>50%</w:t>
            </w:r>
          </w:p>
        </w:tc>
        <w:tc>
          <w:tcPr>
            <w:tcW w:w="1108" w:type="dxa"/>
            <w:vAlign w:val="top"/>
          </w:tcPr>
          <w:p w14:paraId="3261E22F">
            <w:pPr>
              <w:pStyle w:val="5"/>
              <w:keepNext w:val="0"/>
              <w:keepLines w:val="0"/>
              <w:pageBreakBefore w:val="0"/>
              <w:widowControl/>
              <w:kinsoku w:val="0"/>
              <w:wordWrap/>
              <w:overflowPunct/>
              <w:topLinePunct w:val="0"/>
              <w:autoSpaceDE w:val="0"/>
              <w:autoSpaceDN w:val="0"/>
              <w:bidi w:val="0"/>
              <w:adjustRightInd w:val="0"/>
              <w:snapToGrid w:val="0"/>
              <w:spacing w:before="217" w:line="500" w:lineRule="exact"/>
              <w:ind w:left="225"/>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t>X</w:t>
            </w:r>
            <w:r>
              <w:rPr>
                <w:rFonts w:hint="eastAsia" w:ascii="仿宋" w:hAnsi="仿宋" w:eastAsia="仿宋" w:cs="仿宋"/>
                <w:sz w:val="32"/>
                <w:szCs w:val="32"/>
              </w:rPr>
              <w:t>年</w:t>
            </w:r>
            <w:r>
              <w:rPr>
                <w:rFonts w:hint="eastAsia" w:ascii="仿宋" w:hAnsi="仿宋" w:eastAsia="仿宋" w:cs="仿宋"/>
                <w:sz w:val="32"/>
                <w:szCs w:val="32"/>
                <w:lang w:val="en-US" w:eastAsia="zh-CN"/>
              </w:rPr>
              <w:t>X</w:t>
            </w:r>
            <w:r>
              <w:rPr>
                <w:rFonts w:hint="eastAsia" w:ascii="仿宋" w:hAnsi="仿宋" w:eastAsia="仿宋" w:cs="仿宋"/>
                <w:sz w:val="32"/>
                <w:szCs w:val="32"/>
              </w:rPr>
              <w:t>月</w:t>
            </w:r>
            <w:r>
              <w:rPr>
                <w:rFonts w:hint="eastAsia" w:ascii="仿宋" w:hAnsi="仿宋" w:eastAsia="仿宋" w:cs="仿宋"/>
                <w:sz w:val="32"/>
                <w:szCs w:val="32"/>
                <w:lang w:val="en-US" w:eastAsia="zh-CN"/>
              </w:rPr>
              <w:t>X</w:t>
            </w:r>
            <w:r>
              <w:rPr>
                <w:rFonts w:hint="eastAsia" w:ascii="仿宋" w:hAnsi="仿宋" w:eastAsia="仿宋" w:cs="仿宋"/>
                <w:sz w:val="32"/>
                <w:szCs w:val="32"/>
              </w:rPr>
              <w:t>日</w:t>
            </w:r>
          </w:p>
        </w:tc>
      </w:tr>
    </w:tbl>
    <w:p w14:paraId="740391BD">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p>
    <w:p w14:paraId="533BC6B5">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32"/>
          <w:szCs w:val="32"/>
        </w:rPr>
      </w:pPr>
      <w:r>
        <w:rPr>
          <w:rFonts w:hint="eastAsia" w:ascii="仿宋" w:hAnsi="仿宋" w:eastAsia="仿宋" w:cs="仿宋"/>
          <w:b/>
          <w:bCs/>
          <w:sz w:val="32"/>
          <w:szCs w:val="32"/>
        </w:rPr>
        <w:t>第</w:t>
      </w:r>
      <w:r>
        <w:rPr>
          <w:rFonts w:hint="eastAsia" w:ascii="仿宋" w:hAnsi="仿宋" w:eastAsia="仿宋" w:cs="仿宋"/>
          <w:b/>
          <w:bCs/>
          <w:sz w:val="32"/>
          <w:szCs w:val="32"/>
          <w:lang w:val="en-US" w:eastAsia="zh-CN"/>
        </w:rPr>
        <w:t>六</w:t>
      </w:r>
      <w:r>
        <w:rPr>
          <w:rFonts w:hint="eastAsia" w:ascii="仿宋" w:hAnsi="仿宋" w:eastAsia="仿宋" w:cs="仿宋"/>
          <w:b/>
          <w:bCs/>
          <w:sz w:val="32"/>
          <w:szCs w:val="32"/>
        </w:rPr>
        <w:t>章 合伙事务的执行</w:t>
      </w:r>
    </w:p>
    <w:p w14:paraId="2C1E793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w:t>
      </w:r>
      <w:r>
        <w:rPr>
          <w:rFonts w:hint="eastAsia" w:ascii="仿宋" w:hAnsi="仿宋" w:eastAsia="仿宋" w:cs="仿宋"/>
          <w:sz w:val="32"/>
          <w:szCs w:val="32"/>
          <w:lang w:val="en-US" w:eastAsia="zh-CN"/>
        </w:rPr>
        <w:t>一</w:t>
      </w:r>
      <w:r>
        <w:rPr>
          <w:rFonts w:hint="eastAsia" w:ascii="仿宋" w:hAnsi="仿宋" w:eastAsia="仿宋" w:cs="仿宋"/>
          <w:sz w:val="32"/>
          <w:szCs w:val="32"/>
        </w:rPr>
        <w:t>条 有限合伙企业由普通合伙人执行合伙事务。作为合伙人的法人、其他组织执行合伙事务的，由其委派的代表执行。</w:t>
      </w:r>
    </w:p>
    <w:p w14:paraId="17313B89">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执行事务合伙人应具备如下条件：</w:t>
      </w:r>
    </w:p>
    <w:p w14:paraId="1F9CF972">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（一）按期缴付出资，对企业承担连带责任；</w:t>
      </w:r>
    </w:p>
    <w:p w14:paraId="6902A832">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（二）具有完全民事行为能力；</w:t>
      </w:r>
    </w:p>
    <w:p w14:paraId="126370BA">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（三）无犯罪记录，无不良经营记录。</w:t>
      </w:r>
    </w:p>
    <w:p w14:paraId="51FEFF34">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执行事务合伙人的选择程序为：经全体合伙人一致决定，委托</w:t>
      </w:r>
      <w:r>
        <w:rPr>
          <w:rFonts w:hint="eastAsia" w:ascii="仿宋" w:hAnsi="仿宋" w:eastAsia="仿宋" w:cs="仿宋"/>
          <w:color w:val="FF0000"/>
          <w:sz w:val="32"/>
          <w:szCs w:val="32"/>
          <w:lang w:val="en-US" w:eastAsia="zh-CN"/>
        </w:rPr>
        <w:t>1</w:t>
      </w:r>
      <w:r>
        <w:rPr>
          <w:rFonts w:hint="eastAsia" w:ascii="仿宋" w:hAnsi="仿宋" w:eastAsia="仿宋" w:cs="仿宋"/>
          <w:color w:val="FF0000"/>
          <w:sz w:val="32"/>
          <w:szCs w:val="32"/>
        </w:rPr>
        <w:t>个</w:t>
      </w:r>
      <w:r>
        <w:rPr>
          <w:rFonts w:hint="eastAsia" w:ascii="仿宋" w:hAnsi="仿宋" w:eastAsia="仿宋" w:cs="仿宋"/>
          <w:sz w:val="32"/>
          <w:szCs w:val="32"/>
        </w:rPr>
        <w:t>合伙人执行合伙事务。其他合伙人不再执行合伙事务。</w:t>
      </w:r>
    </w:p>
    <w:p w14:paraId="0D132853">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w:t>
      </w:r>
      <w:r>
        <w:rPr>
          <w:rFonts w:hint="eastAsia" w:ascii="仿宋" w:hAnsi="仿宋" w:eastAsia="仿宋" w:cs="仿宋"/>
          <w:sz w:val="32"/>
          <w:szCs w:val="32"/>
          <w:lang w:val="en-US" w:eastAsia="zh-CN"/>
        </w:rPr>
        <w:t>二</w:t>
      </w:r>
      <w:r>
        <w:rPr>
          <w:rFonts w:hint="eastAsia" w:ascii="仿宋" w:hAnsi="仿宋" w:eastAsia="仿宋" w:cs="仿宋"/>
          <w:sz w:val="32"/>
          <w:szCs w:val="32"/>
        </w:rPr>
        <w:t>条 执行事务合伙人权限为：执行事务合伙人负责合伙企业日常运营，对外代表合伙企业。</w:t>
      </w:r>
    </w:p>
    <w:p w14:paraId="41A8CA1C">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执行事务合伙人违约处理办法：执行事务合伙人不按照合伙协议约定或全体合伙人的决定执行事务导致违约发生的，执行事务合伙人应对其他合</w:t>
      </w:r>
      <w:r>
        <w:rPr>
          <w:rFonts w:hint="eastAsia" w:ascii="仿宋" w:hAnsi="仿宋" w:eastAsia="仿宋" w:cs="仿宋"/>
          <w:sz w:val="32"/>
          <w:szCs w:val="32"/>
          <w:lang w:val="en-US" w:eastAsia="zh-CN"/>
        </w:rPr>
        <w:t>伙人因此造成的损失进行赔偿。</w:t>
      </w:r>
    </w:p>
    <w:p w14:paraId="3888936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w:t>
      </w:r>
      <w:r>
        <w:rPr>
          <w:rFonts w:hint="eastAsia" w:ascii="仿宋" w:hAnsi="仿宋" w:eastAsia="仿宋" w:cs="仿宋"/>
          <w:sz w:val="32"/>
          <w:szCs w:val="32"/>
          <w:lang w:val="en-US" w:eastAsia="zh-CN"/>
        </w:rPr>
        <w:t>三</w:t>
      </w:r>
      <w:r>
        <w:rPr>
          <w:rFonts w:hint="eastAsia" w:ascii="仿宋" w:hAnsi="仿宋" w:eastAsia="仿宋" w:cs="仿宋"/>
          <w:sz w:val="32"/>
          <w:szCs w:val="32"/>
        </w:rPr>
        <w:t>条 不执行合伙事务的合伙人有权监督执行事务合伙人执行合伙事务的情况。执行事务合伙人应当定期向其他合伙人报告事务执行情况以及合伙企业的经营和财务状况，其执行合伙事务所产生的收益归合伙企业，所产生的费用和亏损由合伙企业承担。</w:t>
      </w:r>
    </w:p>
    <w:p w14:paraId="6196CEA9">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w:t>
      </w:r>
      <w:r>
        <w:rPr>
          <w:rFonts w:hint="eastAsia" w:ascii="仿宋" w:hAnsi="仿宋" w:eastAsia="仿宋" w:cs="仿宋"/>
          <w:sz w:val="32"/>
          <w:szCs w:val="32"/>
          <w:lang w:val="en-US" w:eastAsia="zh-CN"/>
        </w:rPr>
        <w:t>四</w:t>
      </w:r>
      <w:r>
        <w:rPr>
          <w:rFonts w:hint="eastAsia" w:ascii="仿宋" w:hAnsi="仿宋" w:eastAsia="仿宋" w:cs="仿宋"/>
          <w:sz w:val="32"/>
          <w:szCs w:val="32"/>
        </w:rPr>
        <w:t>条 合伙人分别执行合伙事务的，执行事务合伙人可以对其他合伙人执行的事务提出异议。提出异议时，应当暂停该事务的执行。如果发生争议，依照本协议第十七条的规定作出表决。</w:t>
      </w:r>
    </w:p>
    <w:p w14:paraId="2BA3AE7E">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受委托执行合伙事务的合伙人不按照合伙协议或者全体合伙人的决定执行事务的，其他合伙人可以决定撤销该委托。</w:t>
      </w:r>
    </w:p>
    <w:p w14:paraId="5B270095">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w:t>
      </w:r>
      <w:r>
        <w:rPr>
          <w:rFonts w:hint="eastAsia" w:ascii="仿宋" w:hAnsi="仿宋" w:eastAsia="仿宋" w:cs="仿宋"/>
          <w:sz w:val="32"/>
          <w:szCs w:val="32"/>
          <w:lang w:val="en-US" w:eastAsia="zh-CN"/>
        </w:rPr>
        <w:t>五</w:t>
      </w:r>
      <w:r>
        <w:rPr>
          <w:rFonts w:hint="eastAsia" w:ascii="仿宋" w:hAnsi="仿宋" w:eastAsia="仿宋" w:cs="仿宋"/>
          <w:sz w:val="32"/>
          <w:szCs w:val="32"/>
        </w:rPr>
        <w:t>条 合伙人对合伙企业有关事项作出决议，实行合伙人一人一票并经全体合伙人过半数通过的表决办法。</w:t>
      </w:r>
    </w:p>
    <w:p w14:paraId="0E5BB1FA">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w:t>
      </w:r>
      <w:r>
        <w:rPr>
          <w:rFonts w:hint="eastAsia" w:ascii="仿宋" w:hAnsi="仿宋" w:eastAsia="仿宋" w:cs="仿宋"/>
          <w:sz w:val="32"/>
          <w:szCs w:val="32"/>
          <w:lang w:val="en-US" w:eastAsia="zh-CN"/>
        </w:rPr>
        <w:t>六</w:t>
      </w:r>
      <w:r>
        <w:rPr>
          <w:rFonts w:hint="eastAsia" w:ascii="仿宋" w:hAnsi="仿宋" w:eastAsia="仿宋" w:cs="仿宋"/>
          <w:sz w:val="32"/>
          <w:szCs w:val="32"/>
        </w:rPr>
        <w:t>条 合伙企业的下列事项应当经全体合伙人一致同意：</w:t>
      </w:r>
    </w:p>
    <w:p w14:paraId="0ED9276B">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一）</w:t>
      </w:r>
      <w:r>
        <w:rPr>
          <w:rFonts w:hint="eastAsia" w:ascii="仿宋" w:hAnsi="仿宋" w:eastAsia="仿宋" w:cs="仿宋"/>
          <w:sz w:val="32"/>
          <w:szCs w:val="32"/>
        </w:rPr>
        <w:t>改变合伙企业的名称；</w:t>
      </w:r>
    </w:p>
    <w:p w14:paraId="63FDEF9A">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（二）改变合伙企业的经营范围、主要经营场所的地点；</w:t>
      </w:r>
    </w:p>
    <w:p w14:paraId="1F9E57BE">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（三）处分合伙企业的不动产；</w:t>
      </w:r>
    </w:p>
    <w:p w14:paraId="12BBA804">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（四）转让或者处分合伙企业的知识产权和其他财产权利；</w:t>
      </w:r>
    </w:p>
    <w:p w14:paraId="26234BA5">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（五）以合伙企业名义为他人提供担保；</w:t>
      </w:r>
    </w:p>
    <w:p w14:paraId="16C3747B">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（六）聘任合伙人以外的人担任合伙企业的经营管理人员。</w:t>
      </w:r>
    </w:p>
    <w:p w14:paraId="0383811F">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w:t>
      </w:r>
      <w:r>
        <w:rPr>
          <w:rFonts w:hint="eastAsia" w:ascii="仿宋" w:hAnsi="仿宋" w:eastAsia="仿宋" w:cs="仿宋"/>
          <w:sz w:val="32"/>
          <w:szCs w:val="32"/>
          <w:lang w:val="en-US" w:eastAsia="zh-CN"/>
        </w:rPr>
        <w:t>七</w:t>
      </w:r>
      <w:r>
        <w:rPr>
          <w:rFonts w:hint="eastAsia" w:ascii="仿宋" w:hAnsi="仿宋" w:eastAsia="仿宋" w:cs="仿宋"/>
          <w:sz w:val="32"/>
          <w:szCs w:val="32"/>
        </w:rPr>
        <w:t>条 普通合伙人不得自营或者同他人合作经营与本有限合伙企业相竞争的业务；有限合伙人可以自营或者同他人合作经营与本有限合伙企业相竞争的业务。</w:t>
      </w:r>
    </w:p>
    <w:p w14:paraId="1435EED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除经全体合伙人一致同意外，普通合伙人不得同本合伙企业进行交易。有限合伙人可以同本有限合伙企业进行交易。合伙人不得从事损害本合伙企业利益的活动。</w:t>
      </w:r>
    </w:p>
    <w:p w14:paraId="581EFE3C">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w:t>
      </w:r>
      <w:r>
        <w:rPr>
          <w:rFonts w:hint="eastAsia" w:ascii="仿宋" w:hAnsi="仿宋" w:eastAsia="仿宋" w:cs="仿宋"/>
          <w:sz w:val="32"/>
          <w:szCs w:val="32"/>
          <w:lang w:val="en-US" w:eastAsia="zh-CN"/>
        </w:rPr>
        <w:t>十八</w:t>
      </w:r>
      <w:r>
        <w:rPr>
          <w:rFonts w:hint="eastAsia" w:ascii="仿宋" w:hAnsi="仿宋" w:eastAsia="仿宋" w:cs="仿宋"/>
          <w:sz w:val="32"/>
          <w:szCs w:val="32"/>
        </w:rPr>
        <w:t>条 合伙人经全体合伙人决定，可以增加或者减少对合伙企业的出资。</w:t>
      </w:r>
    </w:p>
    <w:p w14:paraId="2F057E57">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w:t>
      </w:r>
      <w:r>
        <w:rPr>
          <w:rFonts w:hint="eastAsia" w:ascii="仿宋" w:hAnsi="仿宋" w:eastAsia="仿宋" w:cs="仿宋"/>
          <w:sz w:val="32"/>
          <w:szCs w:val="32"/>
          <w:lang w:val="en-US" w:eastAsia="zh-CN"/>
        </w:rPr>
        <w:t>十九</w:t>
      </w:r>
      <w:r>
        <w:rPr>
          <w:rFonts w:hint="eastAsia" w:ascii="仿宋" w:hAnsi="仿宋" w:eastAsia="仿宋" w:cs="仿宋"/>
          <w:sz w:val="32"/>
          <w:szCs w:val="32"/>
        </w:rPr>
        <w:t>条 有限合伙人不执行合伙事务，不得对外代表有限合伙企业。</w:t>
      </w:r>
    </w:p>
    <w:p w14:paraId="4945342C">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有限合伙人的下列行为，不视为执行合伙事务：</w:t>
      </w:r>
    </w:p>
    <w:p w14:paraId="78D79253">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（一）参与决定普通合伙人入伙、退伙；</w:t>
      </w:r>
    </w:p>
    <w:p w14:paraId="5A4F1BFD">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（二）对企业的经营管理提出建议；</w:t>
      </w:r>
    </w:p>
    <w:p w14:paraId="2AEC771F">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（三）参与选择承办有限合伙企业审计业务的会计师事务所；</w:t>
      </w:r>
    </w:p>
    <w:p w14:paraId="195EBAC5">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（四）获取经审计的有限合伙企业财务会计报告；</w:t>
      </w:r>
    </w:p>
    <w:p w14:paraId="05984D5E">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（五）对涉及自身利益的情况，查阅有限合伙企业财务会计账簿等财务资料；</w:t>
      </w:r>
    </w:p>
    <w:p w14:paraId="4634609A">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（六）在有限合伙企业中的利益受到侵害时，向有责任的合伙人主张权利或者提起诉讼；</w:t>
      </w:r>
    </w:p>
    <w:p w14:paraId="51E09B9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（七）执行事务合伙人怠于行使权利时，督促其行使权利或者为了本企业的利益以自己的名义提起诉讼；</w:t>
      </w:r>
    </w:p>
    <w:p w14:paraId="2876AADB">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（八）依法为本企业提供担保。</w:t>
      </w:r>
    </w:p>
    <w:p w14:paraId="1FC8E993">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第</w:t>
      </w:r>
      <w:r>
        <w:rPr>
          <w:rFonts w:hint="eastAsia" w:ascii="仿宋" w:hAnsi="仿宋" w:eastAsia="仿宋" w:cs="仿宋"/>
          <w:b/>
          <w:bCs/>
          <w:color w:val="auto"/>
          <w:sz w:val="32"/>
          <w:szCs w:val="32"/>
          <w:lang w:val="en-US" w:eastAsia="zh-CN"/>
        </w:rPr>
        <w:t>七</w:t>
      </w:r>
      <w:r>
        <w:rPr>
          <w:rFonts w:hint="eastAsia" w:ascii="仿宋" w:hAnsi="仿宋" w:eastAsia="仿宋" w:cs="仿宋"/>
          <w:b/>
          <w:bCs/>
          <w:color w:val="auto"/>
          <w:sz w:val="32"/>
          <w:szCs w:val="32"/>
        </w:rPr>
        <w:t>章 入伙与退伙</w:t>
      </w:r>
    </w:p>
    <w:p w14:paraId="4569FBC9">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第二十条 新合伙人入伙，经全体合伙人一致同意，依法订立书面入伙协议。订立入伙协议时，原合伙人应当向新合伙人如实告知原合伙企业的经营状况和财务状况。入伙的新合伙人与原合伙人享有同等权利，承担同等责任。新入伙的普通合伙人对入伙前合伙企业的债务承担无限连带责任；新入伙的有限合伙人对入伙前有限合伙企业的债务，以其认缴的出资额为限承担责任。</w:t>
      </w:r>
    </w:p>
    <w:p w14:paraId="12105F27">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第二十</w:t>
      </w:r>
      <w:r>
        <w:rPr>
          <w:rFonts w:hint="eastAsia" w:ascii="仿宋" w:hAnsi="仿宋" w:eastAsia="仿宋" w:cs="仿宋"/>
          <w:sz w:val="32"/>
          <w:szCs w:val="32"/>
          <w:lang w:val="en-US" w:eastAsia="zh-CN"/>
        </w:rPr>
        <w:t>一</w:t>
      </w:r>
      <w:r>
        <w:rPr>
          <w:rFonts w:hint="eastAsia" w:ascii="仿宋" w:hAnsi="仿宋" w:eastAsia="仿宋" w:cs="仿宋"/>
          <w:sz w:val="32"/>
          <w:szCs w:val="32"/>
        </w:rPr>
        <w:t>条 合伙协议约定合伙期限的,在合伙企业存续期间，有下列情形之一的，合伙人可以退伙。</w:t>
      </w:r>
    </w:p>
    <w:p w14:paraId="373DBF04">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（一）合伙协议约定的退伙事由出现；</w:t>
      </w:r>
    </w:p>
    <w:p w14:paraId="4EA77F68">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（二）经全体合伙人一致同意；</w:t>
      </w:r>
    </w:p>
    <w:p w14:paraId="116D008F">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（三）发生合伙人难以继续参加合伙的事由；</w:t>
      </w:r>
    </w:p>
    <w:p w14:paraId="0A02564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（四）其他合伙人严重违反合伙协议约定的义务。</w:t>
      </w:r>
    </w:p>
    <w:p w14:paraId="3D30EF5B">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合伙人违反本协议规定退伙的，应当赔偿由此给合伙企业造成的损失。</w:t>
      </w:r>
    </w:p>
    <w:p w14:paraId="0AC17A2C">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第二十</w:t>
      </w:r>
      <w:r>
        <w:rPr>
          <w:rFonts w:hint="eastAsia" w:ascii="仿宋" w:hAnsi="仿宋" w:eastAsia="仿宋" w:cs="仿宋"/>
          <w:sz w:val="32"/>
          <w:szCs w:val="32"/>
          <w:lang w:val="en-US" w:eastAsia="zh-CN"/>
        </w:rPr>
        <w:t>二</w:t>
      </w:r>
      <w:r>
        <w:rPr>
          <w:rFonts w:hint="eastAsia" w:ascii="仿宋" w:hAnsi="仿宋" w:eastAsia="仿宋" w:cs="仿宋"/>
          <w:sz w:val="32"/>
          <w:szCs w:val="32"/>
        </w:rPr>
        <w:t>条 普通合伙人有下列情形之一的和有限合伙人有第一项、第三项至第五项所列情形之一的，当然退伙</w:t>
      </w:r>
      <w:r>
        <w:rPr>
          <w:rFonts w:hint="eastAsia" w:ascii="仿宋" w:hAnsi="仿宋" w:eastAsia="仿宋" w:cs="仿宋"/>
          <w:sz w:val="32"/>
          <w:szCs w:val="32"/>
          <w:lang w:eastAsia="zh-CN"/>
        </w:rPr>
        <w:t>。</w:t>
      </w:r>
    </w:p>
    <w:p w14:paraId="37FCCECC">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（一）作为合伙人的自然人死亡或者被依法宣告死亡；</w:t>
      </w:r>
    </w:p>
    <w:p w14:paraId="529FF8E8">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（二）个人丧失偿债能力；</w:t>
      </w:r>
    </w:p>
    <w:p w14:paraId="10122C91">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（三）作为合伙人的法人或者其他组织依法被吊销营业执照、责令关闭、撤销，或者被宣告破产；</w:t>
      </w:r>
    </w:p>
    <w:p w14:paraId="655CE88E">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（四）法律规定或者合伙协议约定合伙人必须具有相关资格而丧失该资格；</w:t>
      </w:r>
    </w:p>
    <w:p w14:paraId="1B2D8B7F">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（五）合伙人在合伙企业中的全部财产份额被人民法院强制执行。</w:t>
      </w:r>
    </w:p>
    <w:p w14:paraId="3778917B">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普通合伙人被依法认定为无民事行为能力人或者限制民事行为能力人的，经其他合伙人一致同意，可以依法转为有限合伙人；其他合伙人未能一致同意的，该无民事行为能力或者限制民事行为能力的普通合伙人退伙。</w:t>
      </w:r>
    </w:p>
    <w:p w14:paraId="284C6608">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退伙事由实际发生之日为退伙生效日。</w:t>
      </w:r>
    </w:p>
    <w:p w14:paraId="4643E1E3">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第二十</w:t>
      </w:r>
      <w:r>
        <w:rPr>
          <w:rFonts w:hint="eastAsia" w:ascii="仿宋" w:hAnsi="仿宋" w:eastAsia="仿宋" w:cs="仿宋"/>
          <w:sz w:val="32"/>
          <w:szCs w:val="32"/>
          <w:lang w:val="en-US" w:eastAsia="zh-CN"/>
        </w:rPr>
        <w:t>三</w:t>
      </w:r>
      <w:r>
        <w:rPr>
          <w:rFonts w:hint="eastAsia" w:ascii="仿宋" w:hAnsi="仿宋" w:eastAsia="仿宋" w:cs="仿宋"/>
          <w:sz w:val="32"/>
          <w:szCs w:val="32"/>
        </w:rPr>
        <w:t>条 合伙人有下列情形之一的，经其他合伙人一致同意，可以决议将其除名。</w:t>
      </w:r>
    </w:p>
    <w:p w14:paraId="4F9DC3A1">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（一）未履行出资义务；</w:t>
      </w:r>
    </w:p>
    <w:p w14:paraId="7007CD4F">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（二）因故意或者重大过失给合伙企业造成损失；合伙协议未约定合伙期限的，合伙人在不给合伙企业事务执行造成不利影响的情况下，可以退伙，但应当提前三十日通知其他合伙人。</w:t>
      </w:r>
    </w:p>
    <w:p w14:paraId="7FAA50F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（三）执行合伙事务时有不正当行为；</w:t>
      </w:r>
    </w:p>
    <w:p w14:paraId="65929E0B">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（四）发生合伙协议约定的事由。</w:t>
      </w:r>
    </w:p>
    <w:p w14:paraId="36CA1AC5">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执行事务合伙人因有上述情形而被除名的，应按本协议第十三条的规定推举新的执行事务合伙人。</w:t>
      </w:r>
    </w:p>
    <w:p w14:paraId="5A64EB92">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对合伙人的除名决议应当书面通知被除名人。被除名人接到除名通知之日，除名生效，被除名人退伙。被除名人对除名决议有异议的，可以自接到除名通知之日起三十日内，向人民法院起诉。</w:t>
      </w:r>
    </w:p>
    <w:p w14:paraId="61F3594C">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第二十</w:t>
      </w:r>
      <w:r>
        <w:rPr>
          <w:rFonts w:hint="eastAsia" w:ascii="仿宋" w:hAnsi="仿宋" w:eastAsia="仿宋" w:cs="仿宋"/>
          <w:sz w:val="32"/>
          <w:szCs w:val="32"/>
          <w:lang w:val="en-US" w:eastAsia="zh-CN"/>
        </w:rPr>
        <w:t>四</w:t>
      </w:r>
      <w:r>
        <w:rPr>
          <w:rFonts w:hint="eastAsia" w:ascii="仿宋" w:hAnsi="仿宋" w:eastAsia="仿宋" w:cs="仿宋"/>
          <w:sz w:val="32"/>
          <w:szCs w:val="32"/>
        </w:rPr>
        <w:t>条 普通合伙人死亡或者被依法宣告死亡的，对该合伙人在合伙企业中的财产份额享有合法继承权的继承人，经全体合伙人一致同意，从继承开始之日起，取得该合伙企业的合伙人资格。作为有限合伙人的自然人死亡、被依法宣告死亡或者作为有限合伙人的法人及其他组织终止时，其继承人或者权利承受人可以依法取得该有限合伙人在有限合伙企业中的资格。</w:t>
      </w:r>
    </w:p>
    <w:p w14:paraId="2B66A26F">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有下列情形之一，合伙企业应当向合伙人的继承人退还被继承合伙人的财产份额。</w:t>
      </w:r>
    </w:p>
    <w:p w14:paraId="266B6BDE">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（一）继承人不愿意成为合伙人；</w:t>
      </w:r>
    </w:p>
    <w:p w14:paraId="47C134B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（二）法律规定或者合伙协议约定合伙人必须具有相关资格，而该继承人未取得该资格；</w:t>
      </w:r>
    </w:p>
    <w:p w14:paraId="66CF313E">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（三）合伙协议约定不能成为合伙人的其他情形。</w:t>
      </w:r>
    </w:p>
    <w:p w14:paraId="00310E1B">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普通合伙人的继承人为无民事行为能力人或者限制民事行为能力人的，经全体合伙人一致同意，可以依法成为有限合伙人。全体合伙人未能一致同意的，合伙企业应当将被继承合伙人的财产份额退还该继承人。经全体合伙人决定，</w:t>
      </w:r>
    </w:p>
    <w:p w14:paraId="71A19D58">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可以退还货币，也可以退还实物。</w:t>
      </w:r>
    </w:p>
    <w:p w14:paraId="63682BB8">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第二十</w:t>
      </w:r>
      <w:r>
        <w:rPr>
          <w:rFonts w:hint="eastAsia" w:ascii="仿宋" w:hAnsi="仿宋" w:eastAsia="仿宋" w:cs="仿宋"/>
          <w:sz w:val="32"/>
          <w:szCs w:val="32"/>
          <w:lang w:val="en-US" w:eastAsia="zh-CN"/>
        </w:rPr>
        <w:t>五</w:t>
      </w:r>
      <w:r>
        <w:rPr>
          <w:rFonts w:hint="eastAsia" w:ascii="仿宋" w:hAnsi="仿宋" w:eastAsia="仿宋" w:cs="仿宋"/>
          <w:sz w:val="32"/>
          <w:szCs w:val="32"/>
        </w:rPr>
        <w:t>条 普通合伙人退伙后，对基于其退伙前的原因发生的合伙企业债务，承担无限连带责任；退伙时，合伙企业财产少于合伙企业债务的，该退伙人应当依照本协议第十二条的规定分担亏损。有限合伙人退伙后，对基于其退伙前的原因发生的有限合伙企业债务，以其退伙时从有限合伙企业中取回的财产承担责任。</w:t>
      </w:r>
    </w:p>
    <w:p w14:paraId="32E9B22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第二十</w:t>
      </w:r>
      <w:r>
        <w:rPr>
          <w:rFonts w:hint="eastAsia" w:ascii="仿宋" w:hAnsi="仿宋" w:eastAsia="仿宋" w:cs="仿宋"/>
          <w:sz w:val="32"/>
          <w:szCs w:val="32"/>
          <w:lang w:val="en-US" w:eastAsia="zh-CN"/>
        </w:rPr>
        <w:t>六</w:t>
      </w:r>
      <w:r>
        <w:rPr>
          <w:rFonts w:hint="eastAsia" w:ascii="仿宋" w:hAnsi="仿宋" w:eastAsia="仿宋" w:cs="仿宋"/>
          <w:sz w:val="32"/>
          <w:szCs w:val="32"/>
        </w:rPr>
        <w:t>条 经全体合伙人一致同意，普通合伙人可以转变为有限合伙人，或者有限合伙人可以转变为普通合伙人。</w:t>
      </w:r>
    </w:p>
    <w:p w14:paraId="4F2C9BE9">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有限合伙人转变为普通合伙人的，对其作为有限合伙人期间有限合伙企业发生的债务承担无限连带责任。普通合伙人转变为有限合伙人的，对其作为普通合伙人期间合伙企业发生的债务承担无限连带责任。</w:t>
      </w:r>
    </w:p>
    <w:p w14:paraId="6C82D258">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第二十</w:t>
      </w:r>
      <w:r>
        <w:rPr>
          <w:rFonts w:hint="eastAsia" w:ascii="仿宋" w:hAnsi="仿宋" w:eastAsia="仿宋" w:cs="仿宋"/>
          <w:sz w:val="32"/>
          <w:szCs w:val="32"/>
          <w:lang w:val="en-US" w:eastAsia="zh-CN"/>
        </w:rPr>
        <w:t>七</w:t>
      </w:r>
      <w:r>
        <w:rPr>
          <w:rFonts w:hint="eastAsia" w:ascii="仿宋" w:hAnsi="仿宋" w:eastAsia="仿宋" w:cs="仿宋"/>
          <w:sz w:val="32"/>
          <w:szCs w:val="32"/>
        </w:rPr>
        <w:t>条 有限合伙企业仅剩有限合伙人的，应当解散；有限合伙企业仅剩普通合伙人的，转为普通合伙企业。</w:t>
      </w:r>
    </w:p>
    <w:p w14:paraId="7F09BDDC">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32"/>
          <w:szCs w:val="32"/>
        </w:rPr>
      </w:pPr>
      <w:r>
        <w:rPr>
          <w:rFonts w:hint="eastAsia" w:ascii="仿宋" w:hAnsi="仿宋" w:eastAsia="仿宋" w:cs="仿宋"/>
          <w:b/>
          <w:bCs/>
          <w:sz w:val="32"/>
          <w:szCs w:val="32"/>
        </w:rPr>
        <w:t>第</w:t>
      </w:r>
      <w:r>
        <w:rPr>
          <w:rFonts w:hint="eastAsia" w:ascii="仿宋" w:hAnsi="仿宋" w:eastAsia="仿宋" w:cs="仿宋"/>
          <w:b/>
          <w:bCs/>
          <w:sz w:val="32"/>
          <w:szCs w:val="32"/>
          <w:lang w:val="en-US" w:eastAsia="zh-CN"/>
        </w:rPr>
        <w:t>八</w:t>
      </w:r>
      <w:r>
        <w:rPr>
          <w:rFonts w:hint="eastAsia" w:ascii="仿宋" w:hAnsi="仿宋" w:eastAsia="仿宋" w:cs="仿宋"/>
          <w:b/>
          <w:bCs/>
          <w:sz w:val="32"/>
          <w:szCs w:val="32"/>
        </w:rPr>
        <w:t>章 争议解决办法</w:t>
      </w:r>
    </w:p>
    <w:p w14:paraId="497D3A5D">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w:t>
      </w:r>
      <w:r>
        <w:rPr>
          <w:rFonts w:hint="eastAsia" w:ascii="仿宋" w:hAnsi="仿宋" w:eastAsia="仿宋" w:cs="仿宋"/>
          <w:sz w:val="32"/>
          <w:szCs w:val="32"/>
          <w:lang w:val="en-US" w:eastAsia="zh-CN"/>
        </w:rPr>
        <w:t>二十八</w:t>
      </w:r>
      <w:r>
        <w:rPr>
          <w:rFonts w:hint="eastAsia" w:ascii="仿宋" w:hAnsi="仿宋" w:eastAsia="仿宋" w:cs="仿宋"/>
          <w:sz w:val="32"/>
          <w:szCs w:val="32"/>
        </w:rPr>
        <w:t>条 合伙人履行合伙协议发生争议的，合伙人可以通过协商或者调解解决。不愿通过协商、调解解决或者协商、调解不成的，可以向人民法院起诉。</w:t>
      </w:r>
    </w:p>
    <w:p w14:paraId="68790B03">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第</w:t>
      </w:r>
      <w:r>
        <w:rPr>
          <w:rFonts w:hint="eastAsia" w:ascii="仿宋" w:hAnsi="仿宋" w:eastAsia="仿宋" w:cs="仿宋"/>
          <w:b/>
          <w:bCs/>
          <w:color w:val="auto"/>
          <w:sz w:val="32"/>
          <w:szCs w:val="32"/>
          <w:lang w:val="en-US" w:eastAsia="zh-CN"/>
        </w:rPr>
        <w:t>九</w:t>
      </w:r>
      <w:r>
        <w:rPr>
          <w:rFonts w:hint="eastAsia" w:ascii="仿宋" w:hAnsi="仿宋" w:eastAsia="仿宋" w:cs="仿宋"/>
          <w:b/>
          <w:bCs/>
          <w:color w:val="auto"/>
          <w:sz w:val="32"/>
          <w:szCs w:val="32"/>
        </w:rPr>
        <w:t>章 合伙企业的解散与清算</w:t>
      </w:r>
    </w:p>
    <w:p w14:paraId="1EB6E470">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w:t>
      </w:r>
      <w:r>
        <w:rPr>
          <w:rFonts w:hint="eastAsia" w:ascii="仿宋" w:hAnsi="仿宋" w:eastAsia="仿宋" w:cs="仿宋"/>
          <w:sz w:val="32"/>
          <w:szCs w:val="32"/>
          <w:lang w:val="en-US" w:eastAsia="zh-CN"/>
        </w:rPr>
        <w:t>二十九</w:t>
      </w:r>
      <w:r>
        <w:rPr>
          <w:rFonts w:hint="eastAsia" w:ascii="仿宋" w:hAnsi="仿宋" w:eastAsia="仿宋" w:cs="仿宋"/>
          <w:sz w:val="32"/>
          <w:szCs w:val="32"/>
        </w:rPr>
        <w:t>条 合伙企业有下列情形之一的，应当解散：</w:t>
      </w:r>
    </w:p>
    <w:p w14:paraId="5D67EA33">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（一）合伙期限届满，合伙人决定不再经营；</w:t>
      </w:r>
    </w:p>
    <w:p w14:paraId="0636AEC3">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（二）合伙协议约定的解散事由出现；</w:t>
      </w:r>
    </w:p>
    <w:p w14:paraId="17C8FBFF">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（三）全体合伙人决定解散；</w:t>
      </w:r>
    </w:p>
    <w:p w14:paraId="0AD324C8">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（四）合伙人已不具备法定人数满三十天；</w:t>
      </w:r>
    </w:p>
    <w:p w14:paraId="596213AB">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（五）合伙协议约定的合伙目的已经实现或者无法</w:t>
      </w:r>
      <w:r>
        <w:rPr>
          <w:rFonts w:hint="eastAsia" w:ascii="仿宋" w:hAnsi="仿宋" w:eastAsia="仿宋" w:cs="仿宋"/>
          <w:sz w:val="32"/>
          <w:szCs w:val="32"/>
          <w:lang w:eastAsia="zh-CN"/>
        </w:rPr>
        <w:t>；</w:t>
      </w:r>
    </w:p>
    <w:p w14:paraId="1F1E77B1">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（六）依法被吊销营业执照、责令关闭或者被撤销；</w:t>
      </w:r>
    </w:p>
    <w:p w14:paraId="269BF93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（七）法律、行政法规规定的其他原因。</w:t>
      </w:r>
    </w:p>
    <w:p w14:paraId="799E7074">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w:t>
      </w:r>
      <w:r>
        <w:rPr>
          <w:rFonts w:hint="eastAsia" w:ascii="仿宋" w:hAnsi="仿宋" w:eastAsia="仿宋" w:cs="仿宋"/>
          <w:sz w:val="32"/>
          <w:szCs w:val="32"/>
          <w:lang w:val="en-US" w:eastAsia="zh-CN"/>
        </w:rPr>
        <w:t>三十</w:t>
      </w:r>
      <w:r>
        <w:rPr>
          <w:rFonts w:hint="eastAsia" w:ascii="仿宋" w:hAnsi="仿宋" w:eastAsia="仿宋" w:cs="仿宋"/>
          <w:sz w:val="32"/>
          <w:szCs w:val="32"/>
        </w:rPr>
        <w:t>条 合伙企业清算办法应当按《合伙企业法》的规定进行清算。</w:t>
      </w:r>
    </w:p>
    <w:p w14:paraId="1381ABE2">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清算期间，合伙企业存续，不得开展与清算无关的经营活动。</w:t>
      </w:r>
    </w:p>
    <w:p w14:paraId="5D58A5F7">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合伙企业财产在支付清算费用和职工工资、社会保险费用、法定补偿金以及缴纳所欠税款、清偿债务后的剩余财产，依照第十一条的规定进行分配。</w:t>
      </w:r>
    </w:p>
    <w:p w14:paraId="2DCF6243">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第三十</w:t>
      </w:r>
      <w:r>
        <w:rPr>
          <w:rFonts w:hint="eastAsia" w:ascii="仿宋" w:hAnsi="仿宋" w:eastAsia="仿宋" w:cs="仿宋"/>
          <w:sz w:val="32"/>
          <w:szCs w:val="32"/>
          <w:lang w:val="en-US" w:eastAsia="zh-CN"/>
        </w:rPr>
        <w:t>一</w:t>
      </w:r>
      <w:r>
        <w:rPr>
          <w:rFonts w:hint="eastAsia" w:ascii="仿宋" w:hAnsi="仿宋" w:eastAsia="仿宋" w:cs="仿宋"/>
          <w:sz w:val="32"/>
          <w:szCs w:val="32"/>
        </w:rPr>
        <w:t>条 清算结束后，清算人应当编制清算报告，经全体合伙人签名、盖章后，在十五日内向企业登记机关报送清算报告，申请办理合伙企业注销登记。</w:t>
      </w:r>
    </w:p>
    <w:p w14:paraId="6DB482BE">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第十章 违约责任</w:t>
      </w:r>
    </w:p>
    <w:p w14:paraId="0286922A">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第三十</w:t>
      </w:r>
      <w:r>
        <w:rPr>
          <w:rFonts w:hint="eastAsia" w:ascii="仿宋" w:hAnsi="仿宋" w:eastAsia="仿宋" w:cs="仿宋"/>
          <w:sz w:val="32"/>
          <w:szCs w:val="32"/>
          <w:lang w:val="en-US" w:eastAsia="zh-CN"/>
        </w:rPr>
        <w:t>二</w:t>
      </w:r>
      <w:r>
        <w:rPr>
          <w:rFonts w:hint="eastAsia" w:ascii="仿宋" w:hAnsi="仿宋" w:eastAsia="仿宋" w:cs="仿宋"/>
          <w:sz w:val="32"/>
          <w:szCs w:val="32"/>
        </w:rPr>
        <w:t>条 合伙人违反合伙协议的，应当依法承担违约责任。</w:t>
      </w:r>
    </w:p>
    <w:p w14:paraId="18E1F1F4">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第十</w:t>
      </w:r>
      <w:r>
        <w:rPr>
          <w:rFonts w:hint="eastAsia" w:ascii="仿宋" w:hAnsi="仿宋" w:eastAsia="仿宋" w:cs="仿宋"/>
          <w:b/>
          <w:bCs/>
          <w:color w:val="auto"/>
          <w:sz w:val="32"/>
          <w:szCs w:val="32"/>
          <w:lang w:val="en-US" w:eastAsia="zh-CN"/>
        </w:rPr>
        <w:t>一</w:t>
      </w:r>
      <w:r>
        <w:rPr>
          <w:rFonts w:hint="eastAsia" w:ascii="仿宋" w:hAnsi="仿宋" w:eastAsia="仿宋" w:cs="仿宋"/>
          <w:b/>
          <w:bCs/>
          <w:color w:val="auto"/>
          <w:sz w:val="32"/>
          <w:szCs w:val="32"/>
        </w:rPr>
        <w:t>章 其他事项</w:t>
      </w:r>
    </w:p>
    <w:p w14:paraId="2E708A78">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第三十</w:t>
      </w:r>
      <w:r>
        <w:rPr>
          <w:rFonts w:hint="eastAsia" w:ascii="仿宋" w:hAnsi="仿宋" w:eastAsia="仿宋" w:cs="仿宋"/>
          <w:sz w:val="32"/>
          <w:szCs w:val="32"/>
          <w:lang w:val="en-US" w:eastAsia="zh-CN"/>
        </w:rPr>
        <w:t>三</w:t>
      </w:r>
      <w:r>
        <w:rPr>
          <w:rFonts w:hint="eastAsia" w:ascii="仿宋" w:hAnsi="仿宋" w:eastAsia="仿宋" w:cs="仿宋"/>
          <w:sz w:val="32"/>
          <w:szCs w:val="32"/>
        </w:rPr>
        <w:t>条 经全体合伙人协商一致，可以修改或者补充合伙协议。</w:t>
      </w:r>
    </w:p>
    <w:p w14:paraId="6569977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本协议未尽事宜，按国家有关规定执行。</w:t>
      </w:r>
    </w:p>
    <w:p w14:paraId="0964F67F">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p>
    <w:p w14:paraId="4994E2BF">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全体合伙人签名、盖章：</w:t>
      </w:r>
    </w:p>
    <w:p w14:paraId="7489FB53">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lang w:val="en-US" w:eastAsia="zh-CN"/>
        </w:rPr>
      </w:pPr>
    </w:p>
    <w:p w14:paraId="2E9BCA7D">
      <w:pPr>
        <w:keepNext w:val="0"/>
        <w:keepLines w:val="0"/>
        <w:pageBreakBefore w:val="0"/>
        <w:widowControl w:val="0"/>
        <w:kinsoku/>
        <w:wordWrap/>
        <w:overflowPunct/>
        <w:topLinePunct w:val="0"/>
        <w:autoSpaceDE/>
        <w:autoSpaceDN/>
        <w:bidi w:val="0"/>
        <w:adjustRightInd/>
        <w:snapToGrid/>
        <w:spacing w:line="500" w:lineRule="exact"/>
        <w:jc w:val="righ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XX</w:t>
      </w:r>
      <w:r>
        <w:rPr>
          <w:rFonts w:hint="eastAsia" w:ascii="仿宋" w:hAnsi="仿宋" w:eastAsia="仿宋" w:cs="仿宋"/>
          <w:sz w:val="32"/>
          <w:szCs w:val="32"/>
        </w:rPr>
        <w:t>年</w:t>
      </w:r>
      <w:r>
        <w:rPr>
          <w:rFonts w:hint="eastAsia" w:ascii="仿宋" w:hAnsi="仿宋" w:eastAsia="仿宋" w:cs="仿宋"/>
          <w:sz w:val="32"/>
          <w:szCs w:val="32"/>
          <w:lang w:val="en-US" w:eastAsia="zh-CN"/>
        </w:rPr>
        <w:t>X</w:t>
      </w:r>
      <w:r>
        <w:rPr>
          <w:rFonts w:hint="eastAsia" w:ascii="仿宋" w:hAnsi="仿宋" w:eastAsia="仿宋" w:cs="仿宋"/>
          <w:sz w:val="32"/>
          <w:szCs w:val="32"/>
        </w:rPr>
        <w:t>月</w:t>
      </w:r>
      <w:r>
        <w:rPr>
          <w:rFonts w:hint="eastAsia" w:ascii="仿宋" w:hAnsi="仿宋" w:eastAsia="仿宋" w:cs="仿宋"/>
          <w:sz w:val="32"/>
          <w:szCs w:val="32"/>
          <w:lang w:val="en-US" w:eastAsia="zh-CN"/>
        </w:rPr>
        <w:t>X</w:t>
      </w:r>
      <w:r>
        <w:rPr>
          <w:rFonts w:hint="eastAsia" w:ascii="仿宋" w:hAnsi="仿宋" w:eastAsia="仿宋" w:cs="仿宋"/>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85DEC6"/>
    <w:multiLevelType w:val="singleLevel"/>
    <w:tmpl w:val="4585DEC6"/>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A0108D"/>
    <w:rsid w:val="09FB09E0"/>
    <w:rsid w:val="15555D77"/>
    <w:rsid w:val="1AA0108D"/>
    <w:rsid w:val="22550DF8"/>
    <w:rsid w:val="231C1C91"/>
    <w:rsid w:val="236B09DD"/>
    <w:rsid w:val="2A38626A"/>
    <w:rsid w:val="317C39E5"/>
    <w:rsid w:val="49BA3D7C"/>
    <w:rsid w:val="51FB3203"/>
    <w:rsid w:val="60D43F17"/>
    <w:rsid w:val="63DF1C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19"/>
      <w:szCs w:val="19"/>
      <w:lang w:val="en-US" w:eastAsia="en-US" w:bidi="ar-SA"/>
    </w:rPr>
  </w:style>
  <w:style w:type="paragraph" w:customStyle="1" w:styleId="5">
    <w:name w:val="Table Text"/>
    <w:basedOn w:val="1"/>
    <w:semiHidden/>
    <w:qFormat/>
    <w:uiPriority w:val="0"/>
    <w:rPr>
      <w:rFonts w:ascii="微软雅黑" w:hAnsi="微软雅黑" w:eastAsia="微软雅黑" w:cs="微软雅黑"/>
      <w:sz w:val="19"/>
      <w:szCs w:val="19"/>
      <w:lang w:val="en-US" w:eastAsia="en-US" w:bidi="ar-SA"/>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4079</Words>
  <Characters>4127</Characters>
  <Lines>0</Lines>
  <Paragraphs>0</Paragraphs>
  <TotalTime>39</TotalTime>
  <ScaleCrop>false</ScaleCrop>
  <LinksUpToDate>false</LinksUpToDate>
  <CharactersWithSpaces>4178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2026-03-17T05:45:00Z</dcterms:created>
  <dc:creator>Administrator</dc:creator>
  <cp:lastModifiedBy>尹志勇</cp:lastModifiedBy>
  <dcterms:modified xsi:type="dcterms:W3CDTF">2026-04-28T02:25:00Z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DD4FE774256B4097958A6501681AAEA3_11</vt:lpwstr>
  </property>
  <property fmtid="{D5CDD505-2E9C-101B-9397-08002B2CF9AE}" pid="4" name="KSOTemplateDocerSaveRecord">
    <vt:lpwstr>eyJoZGlkIjoiNzdhOTI5ZTU5ZmUwMTlkMTYyOGVhMTgyNzA2NzAzYTQiLCJ1c2VySWQiOiIyMzk0NjgxNjAifQ==</vt:lpwstr>
  </property>
</Properties>
</file>