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854BE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【4】非公司企业法人通过普通程序注销登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记提交材料规范</w:t>
      </w:r>
    </w:p>
    <w:p w14:paraId="49398DAA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1.《企业注销登记申请书（普通程序）》。</w:t>
      </w:r>
    </w:p>
    <w:p w14:paraId="6233ABE5">
      <w:pPr>
        <w:spacing w:before="137" w:line="288" w:lineRule="auto"/>
        <w:ind w:left="23" w:right="13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2.出资人（主管部门）批准该企业法人注销的文件，或人民法院</w:t>
      </w:r>
      <w:r>
        <w:rPr>
          <w:rFonts w:ascii="宋体" w:hAnsi="宋体" w:eastAsia="宋体" w:cs="宋体"/>
          <w:spacing w:val="-4"/>
          <w:sz w:val="24"/>
          <w:szCs w:val="24"/>
        </w:rPr>
        <w:t>裁判解散该</w:t>
      </w:r>
      <w:r>
        <w:rPr>
          <w:rFonts w:ascii="宋体" w:hAnsi="宋体" w:eastAsia="宋体" w:cs="宋体"/>
          <w:spacing w:val="-3"/>
          <w:sz w:val="24"/>
          <w:szCs w:val="24"/>
        </w:rPr>
        <w:t>企业法人的文书，或行政机关责令该企业法人关闭、该企业法人依法被吊销营业</w:t>
      </w:r>
      <w:r>
        <w:rPr>
          <w:rFonts w:ascii="宋体" w:hAnsi="宋体" w:eastAsia="宋体" w:cs="宋体"/>
          <w:spacing w:val="-1"/>
          <w:sz w:val="24"/>
          <w:szCs w:val="24"/>
        </w:rPr>
        <w:t>执照或被撤销的文件。</w:t>
      </w:r>
    </w:p>
    <w:p w14:paraId="332CBAFE">
      <w:pPr>
        <w:spacing w:before="136" w:line="270" w:lineRule="auto"/>
        <w:ind w:left="27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3.出资人（主管部门）、清算组出具的负责清理债权债务的</w:t>
      </w:r>
      <w:r>
        <w:rPr>
          <w:rFonts w:ascii="宋体" w:hAnsi="宋体" w:eastAsia="宋体" w:cs="宋体"/>
          <w:spacing w:val="-4"/>
          <w:sz w:val="24"/>
          <w:szCs w:val="24"/>
        </w:rPr>
        <w:t>文件，或经清算</w:t>
      </w:r>
      <w:r>
        <w:rPr>
          <w:rFonts w:ascii="宋体" w:hAnsi="宋体" w:eastAsia="宋体" w:cs="宋体"/>
          <w:spacing w:val="-1"/>
          <w:sz w:val="24"/>
          <w:szCs w:val="24"/>
        </w:rPr>
        <w:t>组、人民法院确认的清算报告。</w:t>
      </w:r>
    </w:p>
    <w:p w14:paraId="39547E65">
      <w:pPr>
        <w:spacing w:before="138" w:line="270" w:lineRule="auto"/>
        <w:ind w:left="21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4.清税证明材料。登记机关和税务部门已共享清税信息的，无需提交纸</w:t>
      </w:r>
      <w:r>
        <w:rPr>
          <w:rFonts w:ascii="宋体" w:hAnsi="宋体" w:eastAsia="宋体" w:cs="宋体"/>
          <w:spacing w:val="-4"/>
          <w:sz w:val="24"/>
          <w:szCs w:val="24"/>
        </w:rPr>
        <w:t>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 w14:paraId="5ABA67E2"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 w14:paraId="47C9BD5D">
      <w:pPr>
        <w:spacing w:before="137" w:line="271" w:lineRule="auto"/>
        <w:ind w:left="23" w:right="13" w:firstLine="47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6.经人民法院裁定宣告破产并终结破产程序后办理注销登记的，提交以下材</w:t>
      </w:r>
      <w:r>
        <w:rPr>
          <w:rFonts w:ascii="宋体" w:hAnsi="宋体" w:eastAsia="宋体" w:cs="宋体"/>
          <w:spacing w:val="-5"/>
          <w:sz w:val="24"/>
          <w:szCs w:val="24"/>
        </w:rPr>
        <w:t>料：</w:t>
      </w:r>
    </w:p>
    <w:p w14:paraId="40847C6A">
      <w:pPr>
        <w:spacing w:before="135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1、5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2AE2C0D0">
      <w:pPr>
        <w:spacing w:before="137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（2）人民法院宣告破产的裁定和终结破产程序的裁定。</w:t>
      </w:r>
    </w:p>
    <w:p w14:paraId="3279AB17">
      <w:pPr>
        <w:spacing w:before="138" w:line="323" w:lineRule="auto"/>
        <w:ind w:left="26" w:right="13" w:firstLine="4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7.经人民法院裁定强制清算并终结强制清算程序后办理注销登记的，提交以</w:t>
      </w:r>
      <w:r>
        <w:rPr>
          <w:rFonts w:ascii="宋体" w:hAnsi="宋体" w:eastAsia="宋体" w:cs="宋体"/>
          <w:spacing w:val="-4"/>
          <w:sz w:val="24"/>
          <w:szCs w:val="24"/>
        </w:rPr>
        <w:t>下材料：</w:t>
      </w:r>
    </w:p>
    <w:p w14:paraId="7F6FF9AF"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1、5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158135A1">
      <w:pPr>
        <w:spacing w:before="137" w:line="271" w:lineRule="auto"/>
        <w:ind w:left="31" w:right="16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为由作出的裁定）。</w:t>
      </w:r>
    </w:p>
    <w:p w14:paraId="3E3330BE">
      <w:pPr>
        <w:spacing w:before="135" w:line="271" w:lineRule="auto"/>
        <w:ind w:left="42" w:right="13" w:firstLine="4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8.人民法院指定的清算人、破产管理人申请注销登记的，还应当提交</w:t>
      </w:r>
      <w:r>
        <w:rPr>
          <w:rFonts w:ascii="宋体" w:hAnsi="宋体" w:eastAsia="宋体" w:cs="宋体"/>
          <w:spacing w:val="-4"/>
          <w:sz w:val="24"/>
          <w:szCs w:val="24"/>
        </w:rPr>
        <w:t>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 w14:paraId="01CBDE71">
      <w:pPr>
        <w:spacing w:before="135" w:line="271" w:lineRule="auto"/>
        <w:ind w:left="23" w:right="13" w:firstLine="47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9.法律、行政法规和国务院决定规定注销企业必须报经批准的，提交有关批</w:t>
      </w:r>
      <w:r>
        <w:rPr>
          <w:rFonts w:ascii="宋体" w:hAnsi="宋体" w:eastAsia="宋体" w:cs="宋体"/>
          <w:spacing w:val="-2"/>
          <w:sz w:val="24"/>
          <w:szCs w:val="24"/>
        </w:rPr>
        <w:t>准文件的复印件。</w:t>
      </w:r>
    </w:p>
    <w:p w14:paraId="62F914D1">
      <w:pPr>
        <w:pStyle w:val="2"/>
        <w:spacing w:line="256" w:lineRule="auto"/>
      </w:pPr>
    </w:p>
    <w:p w14:paraId="3E5222EC">
      <w:pPr>
        <w:pStyle w:val="2"/>
        <w:spacing w:line="256" w:lineRule="auto"/>
      </w:pPr>
    </w:p>
    <w:p w14:paraId="58389C8C">
      <w:pPr>
        <w:spacing w:before="66" w:line="388" w:lineRule="auto"/>
        <w:ind w:left="21" w:right="15" w:firstLine="423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1.依照《全民所有制工业企业法》《市场主体登记管理条例》《城镇集体所有制企业条例》《乡村集体所有制企业条例》设立的非公司企业法人，申请普通程序注销登记适用</w:t>
      </w:r>
      <w:r>
        <w:rPr>
          <w:rFonts w:ascii="宋体" w:hAnsi="宋体" w:eastAsia="宋体" w:cs="宋体"/>
          <w:spacing w:val="5"/>
          <w:sz w:val="20"/>
          <w:szCs w:val="20"/>
        </w:rPr>
        <w:t>本规范。</w:t>
      </w:r>
    </w:p>
    <w:p w14:paraId="4D2F2471">
      <w:pPr>
        <w:spacing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4BBF044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A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2026-01-20T06:51:50Z</dcterms:created>
  <dc:creator>Administrator</dc:creator>
  <cp:lastModifiedBy>熠熠生辉</cp:lastModifiedBy>
  <dcterms:modified xsi:type="dcterms:W3CDTF">2026-01-20T06:52:08Z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A4DF6C8B3FFB4D0DAE4A0B7C23DABB7A_12</vt:lpwstr>
  </property>
</Properties>
</file>