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5BB354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【3】非公司企业法人备案提交材料规范</w:t>
      </w:r>
    </w:p>
    <w:p w14:paraId="7D2A0A96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1.《非公司企业法人登记（备案）申请书》。</w:t>
      </w:r>
    </w:p>
    <w:p w14:paraId="41A6F2F8">
      <w:pPr>
        <w:spacing w:before="136" w:line="218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2.备案事项涉及企业章程修改的，提交修改企业章程的决定。</w:t>
      </w:r>
    </w:p>
    <w:p w14:paraId="50015E38"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3.备案事项证明文件。</w:t>
      </w:r>
    </w:p>
    <w:p w14:paraId="04819319">
      <w:pPr>
        <w:spacing w:before="137" w:line="270" w:lineRule="auto"/>
        <w:ind w:left="24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（1）章程备案：提交修改后的企业章程或章程修正</w:t>
      </w:r>
      <w:r>
        <w:rPr>
          <w:rFonts w:ascii="宋体" w:hAnsi="宋体" w:eastAsia="宋体" w:cs="宋体"/>
          <w:spacing w:val="-8"/>
          <w:sz w:val="24"/>
          <w:szCs w:val="24"/>
        </w:rPr>
        <w:t>案[由出资人（主管部门）</w:t>
      </w:r>
      <w:r>
        <w:rPr>
          <w:rFonts w:ascii="宋体" w:hAnsi="宋体" w:eastAsia="宋体" w:cs="宋体"/>
          <w:spacing w:val="-2"/>
          <w:sz w:val="24"/>
          <w:szCs w:val="24"/>
        </w:rPr>
        <w:t>加盖公章]。</w:t>
      </w:r>
    </w:p>
    <w:p w14:paraId="7655C53A">
      <w:pPr>
        <w:spacing w:before="136" w:line="219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（2）经营期限备案：提交出资人（主管部门）出具的更改经营期限的文件。</w:t>
      </w:r>
    </w:p>
    <w:p w14:paraId="09F6C211"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（3）登记联络员备案：提交登记联络员的自然人身份证明复印件。</w:t>
      </w:r>
    </w:p>
    <w:p w14:paraId="0D08D5A7">
      <w:pPr>
        <w:spacing w:before="135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 w14:paraId="15C5EDA0">
      <w:pPr>
        <w:spacing w:before="136" w:line="271" w:lineRule="auto"/>
        <w:ind w:left="27" w:right="99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5.法律、行政法规和国务院决定规定企业备案事项必须报经</w:t>
      </w:r>
      <w:r>
        <w:rPr>
          <w:rFonts w:ascii="宋体" w:hAnsi="宋体" w:eastAsia="宋体" w:cs="宋体"/>
          <w:spacing w:val="-4"/>
          <w:sz w:val="24"/>
          <w:szCs w:val="24"/>
        </w:rPr>
        <w:t>批准的，提交有</w:t>
      </w:r>
      <w:r>
        <w:rPr>
          <w:rFonts w:ascii="宋体" w:hAnsi="宋体" w:eastAsia="宋体" w:cs="宋体"/>
          <w:spacing w:val="-1"/>
          <w:sz w:val="24"/>
          <w:szCs w:val="24"/>
        </w:rPr>
        <w:t>关批准文件或许可证件的复印件。</w:t>
      </w:r>
    </w:p>
    <w:p w14:paraId="1DB66E12">
      <w:pPr>
        <w:pStyle w:val="2"/>
        <w:spacing w:line="257" w:lineRule="auto"/>
      </w:pPr>
    </w:p>
    <w:p w14:paraId="1BA56B59">
      <w:pPr>
        <w:pStyle w:val="2"/>
        <w:spacing w:line="257" w:lineRule="auto"/>
      </w:pPr>
    </w:p>
    <w:p w14:paraId="083188A1">
      <w:pPr>
        <w:spacing w:before="65" w:line="386" w:lineRule="auto"/>
        <w:ind w:left="21" w:right="101" w:firstLine="42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</w:t>
      </w:r>
      <w:r>
        <w:rPr>
          <w:rFonts w:ascii="宋体" w:hAnsi="宋体" w:eastAsia="宋体" w:cs="宋体"/>
          <w:spacing w:val="8"/>
          <w:sz w:val="20"/>
          <w:szCs w:val="20"/>
        </w:rPr>
        <w:t>业条例》《乡村集体所有制企业条例》设立的非公司企业法人，</w:t>
      </w:r>
      <w:r>
        <w:rPr>
          <w:rFonts w:ascii="宋体" w:hAnsi="宋体" w:eastAsia="宋体" w:cs="宋体"/>
          <w:spacing w:val="-4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申请备案适用本规范。</w:t>
      </w:r>
    </w:p>
    <w:p w14:paraId="24EBB3DA"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2.非公司企业法人备案与变更登记同时申请的，可以一并提交有关</w:t>
      </w:r>
      <w:r>
        <w:rPr>
          <w:rFonts w:ascii="宋体" w:hAnsi="宋体" w:eastAsia="宋体" w:cs="宋体"/>
          <w:spacing w:val="8"/>
          <w:sz w:val="20"/>
          <w:szCs w:val="20"/>
        </w:rPr>
        <w:t>材料。</w:t>
      </w:r>
    </w:p>
    <w:p w14:paraId="31854D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12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2026-01-20T06:50:52Z</dcterms:created>
  <dc:creator>Administrator</dc:creator>
  <cp:lastModifiedBy>熠熠生辉</cp:lastModifiedBy>
  <dcterms:modified xsi:type="dcterms:W3CDTF">2026-01-20T06:51:03Z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DA12F5DE10FF4667BCFAE2CEECA3826C_12</vt:lpwstr>
  </property>
</Properties>
</file>