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left"/>
        <w:rPr>
          <w:rFonts w:ascii="黑体" w:hAnsi="黑体" w:eastAsia="黑体"/>
          <w:bCs/>
          <w:kern w:val="0"/>
          <w:sz w:val="32"/>
          <w:szCs w:val="44"/>
        </w:rPr>
      </w:pPr>
      <w:r>
        <w:rPr>
          <w:rFonts w:hint="eastAsia" w:ascii="黑体" w:hAnsi="黑体" w:eastAsia="黑体"/>
          <w:bCs/>
          <w:kern w:val="0"/>
          <w:sz w:val="32"/>
          <w:szCs w:val="44"/>
        </w:rPr>
        <w:t>附件1-</w:t>
      </w:r>
      <w:r>
        <w:rPr>
          <w:rFonts w:ascii="黑体" w:hAnsi="黑体" w:eastAsia="黑体"/>
          <w:bCs/>
          <w:kern w:val="0"/>
          <w:sz w:val="32"/>
          <w:szCs w:val="44"/>
        </w:rPr>
        <w:t>6</w:t>
      </w:r>
    </w:p>
    <w:p>
      <w:pPr>
        <w:spacing w:after="120" w:afterLines="50"/>
        <w:rPr>
          <w:rFonts w:ascii="仿宋_GB2312" w:hAnsi="宋体" w:eastAsia="仿宋_GB2312" w:cs="仿宋_GB2312"/>
          <w:b/>
          <w:bCs/>
          <w:kern w:val="0"/>
          <w:sz w:val="44"/>
          <w:szCs w:val="44"/>
        </w:rPr>
      </w:pPr>
    </w:p>
    <w:p>
      <w:pPr>
        <w:jc w:val="center"/>
        <w:rPr>
          <w:rFonts w:ascii="方正小标宋简体" w:hAnsi="宋体" w:eastAsia="方正小标宋简体" w:cs="仿宋_GB2312"/>
          <w:bCs/>
          <w:kern w:val="0"/>
          <w:sz w:val="44"/>
          <w:szCs w:val="44"/>
        </w:rPr>
        <w:sectPr>
          <w:pgSz w:w="16839" w:h="11907" w:orient="landscape"/>
          <w:pgMar w:top="1588" w:right="2098" w:bottom="1474" w:left="1985" w:header="720" w:footer="720" w:gutter="0"/>
          <w:cols w:space="720" w:num="1"/>
          <w:docGrid w:linePitch="286" w:charSpace="0"/>
        </w:sectPr>
      </w:pPr>
    </w:p>
    <w:p>
      <w:pPr>
        <w:jc w:val="center"/>
        <w:rPr>
          <w:rFonts w:ascii="方正小标宋简体" w:hAnsi="宋体" w:eastAsia="方正小标宋简体"/>
          <w:bCs/>
          <w:kern w:val="0"/>
          <w:sz w:val="44"/>
          <w:szCs w:val="44"/>
        </w:rPr>
      </w:pPr>
      <w:r>
        <w:rPr>
          <w:rFonts w:hint="eastAsia" w:ascii="方正小标宋简体" w:hAnsi="宋体" w:eastAsia="方正小标宋简体" w:cs="仿宋_GB2312"/>
          <w:bCs/>
          <w:kern w:val="0"/>
          <w:sz w:val="44"/>
          <w:szCs w:val="44"/>
        </w:rPr>
        <w:t>食品经营许可现场核查表</w:t>
      </w:r>
    </w:p>
    <w:p>
      <w:pPr>
        <w:jc w:val="center"/>
        <w:rPr>
          <w:rFonts w:ascii="方正小标宋简体" w:hAnsi="宋体" w:eastAsia="方正小标宋简体"/>
          <w:bCs/>
          <w:kern w:val="0"/>
          <w:sz w:val="44"/>
          <w:szCs w:val="44"/>
        </w:rPr>
      </w:pPr>
      <w:r>
        <w:rPr>
          <w:rFonts w:hint="eastAsia" w:ascii="方正小标宋简体" w:hAnsi="宋体" w:eastAsia="方正小标宋简体" w:cs="仿宋_GB2312"/>
          <w:bCs/>
          <w:kern w:val="0"/>
          <w:sz w:val="44"/>
          <w:szCs w:val="44"/>
        </w:rPr>
        <w:t>（适用于美食城项目要求）</w:t>
      </w: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单位名称：</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地    址：</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color w:val="000000"/>
          <w:kern w:val="0"/>
          <w:sz w:val="36"/>
          <w:szCs w:val="36"/>
          <w:u w:val="single"/>
        </w:rPr>
        <w:sectPr>
          <w:type w:val="continuous"/>
          <w:pgSz w:w="16839" w:h="11907" w:orient="landscape"/>
          <w:pgMar w:top="1588" w:right="2098" w:bottom="1474" w:left="1985" w:header="720" w:footer="720" w:gutter="0"/>
          <w:cols w:space="720" w:num="1"/>
          <w:docGrid w:linePitch="286" w:charSpace="0"/>
        </w:sectPr>
      </w:pPr>
      <w:r>
        <w:rPr>
          <w:rFonts w:hint="eastAsia" w:ascii="仿宋_GB2312" w:hAnsi="宋体" w:eastAsia="仿宋_GB2312" w:cs="仿宋_GB2312"/>
          <w:b/>
          <w:bCs/>
          <w:kern w:val="0"/>
          <w:sz w:val="36"/>
          <w:szCs w:val="36"/>
        </w:rPr>
        <w:t>核查日期：</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p>
    <w:p>
      <w:pPr>
        <w:tabs>
          <w:tab w:val="center" w:pos="6960"/>
          <w:tab w:val="left" w:pos="11825"/>
        </w:tabs>
        <w:spacing w:line="280" w:lineRule="exact"/>
        <w:jc w:val="left"/>
        <w:rPr>
          <w:rFonts w:ascii="宋体" w:hAnsi="宋体" w:cs="宋体"/>
          <w:color w:val="000000"/>
          <w:kern w:val="0"/>
          <w:u w:val="single"/>
          <w:lang w:val="zh-CN"/>
        </w:rPr>
      </w:pPr>
    </w:p>
    <w:tbl>
      <w:tblPr>
        <w:tblStyle w:val="5"/>
        <w:tblW w:w="1214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6380"/>
        <w:gridCol w:w="762"/>
        <w:gridCol w:w="993"/>
        <w:gridCol w:w="850"/>
        <w:gridCol w:w="99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trPr>
        <w:tc>
          <w:tcPr>
            <w:tcW w:w="960" w:type="dxa"/>
            <w:vMerge w:val="restart"/>
            <w:vAlign w:val="center"/>
          </w:tcPr>
          <w:p>
            <w:pPr>
              <w:widowControl/>
              <w:jc w:val="center"/>
              <w:rPr>
                <w:rFonts w:ascii="仿宋_GB2312" w:hAnsi="仿宋_GB2312" w:cs="宋体"/>
                <w:b/>
                <w:bCs/>
                <w:color w:val="000000"/>
                <w:kern w:val="0"/>
                <w:szCs w:val="21"/>
              </w:rPr>
            </w:pPr>
            <w:r>
              <w:rPr>
                <w:rFonts w:ascii="仿宋_GB2312" w:hAnsi="仿宋_GB2312" w:cs="宋体"/>
                <w:b/>
                <w:bCs/>
                <w:color w:val="000000"/>
                <w:kern w:val="0"/>
                <w:szCs w:val="21"/>
              </w:rPr>
              <w:t>核查内容</w:t>
            </w:r>
          </w:p>
        </w:tc>
        <w:tc>
          <w:tcPr>
            <w:tcW w:w="6380" w:type="dxa"/>
            <w:vMerge w:val="restart"/>
            <w:vAlign w:val="center"/>
          </w:tcPr>
          <w:p>
            <w:pPr>
              <w:widowControl/>
              <w:jc w:val="center"/>
              <w:rPr>
                <w:rFonts w:ascii="仿宋_GB2312" w:hAnsi="仿宋_GB2312" w:cs="宋体"/>
                <w:b/>
                <w:bCs/>
                <w:color w:val="000000"/>
                <w:kern w:val="0"/>
                <w:sz w:val="24"/>
                <w:szCs w:val="24"/>
              </w:rPr>
            </w:pPr>
            <w:r>
              <w:rPr>
                <w:rFonts w:ascii="仿宋_GB2312" w:hAnsi="仿宋_GB2312" w:cs="宋体"/>
                <w:b/>
                <w:bCs/>
                <w:color w:val="000000"/>
                <w:kern w:val="0"/>
                <w:sz w:val="24"/>
                <w:szCs w:val="24"/>
              </w:rPr>
              <w:t>核查和评价方法</w:t>
            </w:r>
          </w:p>
        </w:tc>
        <w:tc>
          <w:tcPr>
            <w:tcW w:w="762" w:type="dxa"/>
            <w:vMerge w:val="restart"/>
            <w:vAlign w:val="center"/>
          </w:tcPr>
          <w:p>
            <w:pPr>
              <w:widowControl/>
              <w:jc w:val="center"/>
              <w:rPr>
                <w:rFonts w:ascii="仿宋_GB2312" w:hAnsi="仿宋_GB2312" w:cs="宋体"/>
                <w:b/>
                <w:bCs/>
                <w:color w:val="000000"/>
                <w:kern w:val="0"/>
                <w:szCs w:val="21"/>
              </w:rPr>
            </w:pPr>
            <w:r>
              <w:rPr>
                <w:rFonts w:ascii="仿宋_GB2312" w:hAnsi="仿宋_GB2312" w:cs="宋体"/>
                <w:b/>
                <w:bCs/>
                <w:color w:val="000000"/>
                <w:kern w:val="0"/>
                <w:szCs w:val="21"/>
              </w:rPr>
              <w:t>编号</w:t>
            </w:r>
          </w:p>
        </w:tc>
        <w:tc>
          <w:tcPr>
            <w:tcW w:w="993" w:type="dxa"/>
            <w:vMerge w:val="restart"/>
            <w:vAlign w:val="center"/>
          </w:tcPr>
          <w:p>
            <w:pPr>
              <w:widowControl/>
              <w:jc w:val="center"/>
              <w:rPr>
                <w:rFonts w:ascii="仿宋_GB2312" w:hAnsi="仿宋_GB2312" w:cs="宋体"/>
                <w:b/>
                <w:bCs/>
                <w:color w:val="000000"/>
                <w:kern w:val="0"/>
                <w:szCs w:val="21"/>
              </w:rPr>
            </w:pPr>
            <w:r>
              <w:rPr>
                <w:rFonts w:ascii="仿宋_GB2312" w:hAnsi="仿宋_GB2312" w:cs="宋体"/>
                <w:b/>
                <w:bCs/>
                <w:color w:val="000000"/>
                <w:kern w:val="0"/>
                <w:szCs w:val="21"/>
              </w:rPr>
              <w:t>重要性</w:t>
            </w:r>
          </w:p>
        </w:tc>
        <w:tc>
          <w:tcPr>
            <w:tcW w:w="3045" w:type="dxa"/>
            <w:gridSpan w:val="3"/>
            <w:vAlign w:val="center"/>
          </w:tcPr>
          <w:p>
            <w:pPr>
              <w:widowControl/>
              <w:jc w:val="center"/>
              <w:rPr>
                <w:rFonts w:ascii="仿宋_GB2312" w:hAnsi="仿宋_GB2312" w:cs="宋体"/>
                <w:b/>
                <w:bCs/>
                <w:color w:val="000000"/>
                <w:kern w:val="0"/>
                <w:szCs w:val="21"/>
              </w:rPr>
            </w:pPr>
            <w:r>
              <w:rPr>
                <w:rFonts w:ascii="仿宋_GB2312" w:hAnsi="仿宋_GB2312" w:cs="宋体"/>
                <w:b/>
                <w:bCs/>
                <w:color w:val="000000"/>
                <w:kern w:val="0"/>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blHeader/>
        </w:trPr>
        <w:tc>
          <w:tcPr>
            <w:tcW w:w="960" w:type="dxa"/>
            <w:vMerge w:val="continue"/>
            <w:vAlign w:val="center"/>
          </w:tcPr>
          <w:p>
            <w:pPr>
              <w:widowControl/>
              <w:jc w:val="center"/>
              <w:rPr>
                <w:rFonts w:ascii="仿宋_GB2312" w:hAnsi="仿宋_GB2312" w:cs="宋体"/>
                <w:b/>
                <w:bCs/>
                <w:color w:val="000000"/>
                <w:kern w:val="0"/>
                <w:szCs w:val="21"/>
              </w:rPr>
            </w:pPr>
          </w:p>
        </w:tc>
        <w:tc>
          <w:tcPr>
            <w:tcW w:w="6380" w:type="dxa"/>
            <w:vMerge w:val="continue"/>
            <w:vAlign w:val="center"/>
          </w:tcPr>
          <w:p>
            <w:pPr>
              <w:widowControl/>
              <w:jc w:val="left"/>
              <w:rPr>
                <w:rFonts w:ascii="仿宋_GB2312" w:hAnsi="仿宋_GB2312" w:cs="宋体"/>
                <w:b/>
                <w:bCs/>
                <w:color w:val="000000"/>
                <w:kern w:val="0"/>
                <w:sz w:val="24"/>
                <w:szCs w:val="24"/>
              </w:rPr>
            </w:pPr>
          </w:p>
        </w:tc>
        <w:tc>
          <w:tcPr>
            <w:tcW w:w="762" w:type="dxa"/>
            <w:vMerge w:val="continue"/>
            <w:vAlign w:val="center"/>
          </w:tcPr>
          <w:p>
            <w:pPr>
              <w:widowControl/>
              <w:jc w:val="left"/>
              <w:rPr>
                <w:rFonts w:ascii="仿宋_GB2312" w:hAnsi="仿宋_GB2312" w:cs="宋体"/>
                <w:b/>
                <w:bCs/>
                <w:color w:val="000000"/>
                <w:kern w:val="0"/>
                <w:szCs w:val="21"/>
              </w:rPr>
            </w:pPr>
          </w:p>
        </w:tc>
        <w:tc>
          <w:tcPr>
            <w:tcW w:w="993" w:type="dxa"/>
            <w:vMerge w:val="continue"/>
            <w:vAlign w:val="center"/>
          </w:tcPr>
          <w:p>
            <w:pPr>
              <w:widowControl/>
              <w:jc w:val="left"/>
              <w:rPr>
                <w:rFonts w:ascii="仿宋_GB2312" w:hAnsi="仿宋_GB2312" w:cs="宋体"/>
                <w:b/>
                <w:bCs/>
                <w:color w:val="000000"/>
                <w:kern w:val="0"/>
                <w:szCs w:val="21"/>
              </w:rPr>
            </w:pPr>
          </w:p>
        </w:tc>
        <w:tc>
          <w:tcPr>
            <w:tcW w:w="850" w:type="dxa"/>
            <w:vAlign w:val="center"/>
          </w:tcPr>
          <w:p>
            <w:pPr>
              <w:widowControl/>
              <w:jc w:val="center"/>
              <w:rPr>
                <w:rFonts w:ascii="仿宋_GB2312" w:hAnsi="仿宋_GB2312" w:cs="宋体"/>
                <w:b/>
                <w:bCs/>
                <w:color w:val="000000"/>
                <w:kern w:val="0"/>
                <w:szCs w:val="21"/>
              </w:rPr>
            </w:pPr>
            <w:r>
              <w:rPr>
                <w:rFonts w:ascii="仿宋_GB2312" w:hAnsi="仿宋_GB2312" w:cs="宋体"/>
                <w:b/>
                <w:bCs/>
                <w:color w:val="000000"/>
                <w:kern w:val="0"/>
                <w:szCs w:val="21"/>
              </w:rPr>
              <w:t>符合</w:t>
            </w:r>
          </w:p>
        </w:tc>
        <w:tc>
          <w:tcPr>
            <w:tcW w:w="992" w:type="dxa"/>
            <w:vAlign w:val="center"/>
          </w:tcPr>
          <w:p>
            <w:pPr>
              <w:widowControl/>
              <w:jc w:val="center"/>
              <w:rPr>
                <w:rFonts w:ascii="仿宋_GB2312" w:hAnsi="仿宋_GB2312" w:cs="宋体"/>
                <w:b/>
                <w:bCs/>
                <w:color w:val="000000"/>
                <w:kern w:val="0"/>
                <w:szCs w:val="21"/>
              </w:rPr>
            </w:pPr>
            <w:r>
              <w:rPr>
                <w:rFonts w:ascii="仿宋_GB2312" w:hAnsi="仿宋_GB2312" w:cs="宋体"/>
                <w:b/>
                <w:bCs/>
                <w:color w:val="000000"/>
                <w:kern w:val="0"/>
                <w:szCs w:val="21"/>
              </w:rPr>
              <w:t>不符合</w:t>
            </w:r>
          </w:p>
        </w:tc>
        <w:tc>
          <w:tcPr>
            <w:tcW w:w="1203" w:type="dxa"/>
            <w:vAlign w:val="center"/>
          </w:tcPr>
          <w:p>
            <w:pPr>
              <w:widowControl/>
              <w:jc w:val="center"/>
              <w:rPr>
                <w:rFonts w:ascii="仿宋_GB2312" w:hAnsi="仿宋_GB2312" w:cs="宋体"/>
                <w:b/>
                <w:bCs/>
                <w:color w:val="000000"/>
                <w:kern w:val="0"/>
                <w:szCs w:val="21"/>
              </w:rPr>
            </w:pPr>
            <w:r>
              <w:rPr>
                <w:rFonts w:ascii="仿宋_GB2312" w:hAnsi="仿宋_GB2312" w:cs="宋体"/>
                <w:b/>
                <w:bCs/>
                <w:color w:val="000000"/>
                <w:kern w:val="0"/>
                <w:szCs w:val="21"/>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6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1.选址</w:t>
            </w:r>
          </w:p>
        </w:tc>
        <w:tc>
          <w:tcPr>
            <w:tcW w:w="6380" w:type="dxa"/>
            <w:vAlign w:val="center"/>
          </w:tcPr>
          <w:p>
            <w:pPr>
              <w:widowControl/>
              <w:rPr>
                <w:rFonts w:ascii="仿宋_GB2312" w:hAnsi="仿宋_GB2312" w:cs="宋体"/>
                <w:color w:val="000000"/>
                <w:kern w:val="0"/>
                <w:szCs w:val="21"/>
              </w:rPr>
            </w:pPr>
            <w:r>
              <w:rPr>
                <w:rFonts w:hint="eastAsia" w:ascii="仿宋_GB2312" w:hAnsi="宋体" w:eastAsia="仿宋_GB2312" w:cs="仿宋_GB2312"/>
                <w:color w:val="000000"/>
                <w:kern w:val="0"/>
              </w:rPr>
              <w:t>地势干燥、有给排水条件和电力供应，</w:t>
            </w:r>
            <w:r>
              <w:rPr>
                <w:rFonts w:hint="eastAsia" w:ascii="仿宋_GB2312" w:hAnsi="宋体" w:eastAsia="仿宋_GB2312" w:cs="仿宋_GB2312"/>
                <w:color w:val="000000" w:themeColor="text1"/>
                <w:kern w:val="0"/>
                <w14:textFill>
                  <w14:solidFill>
                    <w14:schemeClr w14:val="tx1"/>
                  </w14:solidFill>
                </w14:textFill>
              </w:rPr>
              <w:t>不得设在易受到污染的区域，以及有害废弃物、粉尘、有害气体、放射性物质和其他扩散性污染源不能有效清除的地点。周围不应有可导致虫害大量滋生的场所，难以避开时应采取必要的防范措施。</w:t>
            </w:r>
            <w:r>
              <w:rPr>
                <w:rFonts w:hint="eastAsia" w:ascii="仿宋_GB2312" w:hAnsi="宋体" w:eastAsia="仿宋_GB2312" w:cs="仿宋_GB2312"/>
                <w:color w:val="000000"/>
                <w:kern w:val="0"/>
              </w:rPr>
              <w:t>距离粪坑、污水池、暴露垃圾场（站）、旱厕等污染源25</w:t>
            </w:r>
            <w:r>
              <w:rPr>
                <w:rFonts w:ascii="仿宋_GB2312" w:hAnsi="宋体" w:eastAsia="仿宋_GB2312" w:cs="仿宋_GB2312"/>
                <w:color w:val="000000"/>
                <w:kern w:val="0"/>
                <w:lang w:val="en"/>
              </w:rPr>
              <w:t>m</w:t>
            </w:r>
            <w:r>
              <w:rPr>
                <w:rFonts w:hint="eastAsia" w:ascii="仿宋_GB2312" w:hAnsi="宋体" w:eastAsia="仿宋_GB2312" w:cs="仿宋_GB2312"/>
                <w:color w:val="000000"/>
                <w:kern w:val="0"/>
              </w:rPr>
              <w:t>以上</w:t>
            </w:r>
          </w:p>
        </w:tc>
        <w:tc>
          <w:tcPr>
            <w:tcW w:w="76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1</w:t>
            </w:r>
          </w:p>
        </w:tc>
        <w:tc>
          <w:tcPr>
            <w:tcW w:w="99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0" w:type="dxa"/>
            <w:vMerge w:val="restart"/>
            <w:vAlign w:val="center"/>
          </w:tcPr>
          <w:p>
            <w:pPr>
              <w:widowControl/>
              <w:rPr>
                <w:rFonts w:ascii="仿宋_GB2312" w:hAnsi="仿宋_GB2312" w:cs="宋体"/>
                <w:color w:val="000000"/>
                <w:kern w:val="0"/>
                <w:sz w:val="18"/>
                <w:szCs w:val="18"/>
              </w:rPr>
            </w:pPr>
            <w:r>
              <w:rPr>
                <w:rFonts w:ascii="仿宋_GB2312" w:hAnsi="宋体" w:eastAsia="仿宋_GB2312" w:cs="仿宋_GB2312"/>
                <w:color w:val="000000"/>
                <w:kern w:val="0"/>
              </w:rPr>
              <w:t>2.场所设置和布局</w:t>
            </w: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餐饮服务场所</w:t>
            </w:r>
            <w:r>
              <w:rPr>
                <w:rFonts w:ascii="仿宋_GB2312" w:hAnsi="宋体" w:eastAsia="仿宋_GB2312" w:cs="仿宋_GB2312"/>
                <w:color w:val="000000"/>
                <w:kern w:val="0"/>
              </w:rPr>
              <w:t>面积</w:t>
            </w:r>
            <w:r>
              <w:rPr>
                <w:rFonts w:hint="eastAsia" w:ascii="东文宋体" w:hAnsi="东文宋体" w:eastAsia="东文宋体" w:cs="东文宋体"/>
                <w:color w:val="000000"/>
                <w:kern w:val="0"/>
              </w:rPr>
              <w:t>≥</w:t>
            </w:r>
            <w:r>
              <w:rPr>
                <w:rFonts w:hint="eastAsia" w:ascii="仿宋_GB2312" w:hAnsi="宋体" w:eastAsia="仿宋_GB2312" w:cs="仿宋_GB2312"/>
                <w:color w:val="000000"/>
                <w:kern w:val="0"/>
              </w:rPr>
              <w:t>300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仿宋_GB2312" w:eastAsia="仿宋_GB2312" w:cs="仿宋_GB2312"/>
                <w:color w:val="000000"/>
                <w:kern w:val="0"/>
              </w:rPr>
              <w:t>，食品</w:t>
            </w:r>
            <w:r>
              <w:rPr>
                <w:rFonts w:hint="eastAsia" w:ascii="仿宋_GB2312" w:hAnsi="宋体" w:eastAsia="仿宋_GB2312" w:cs="仿宋_GB2312"/>
                <w:color w:val="000000"/>
                <w:kern w:val="0"/>
              </w:rPr>
              <w:t>加工档口</w:t>
            </w:r>
            <w:r>
              <w:rPr>
                <w:rFonts w:hint="eastAsia" w:ascii="东文宋体" w:hAnsi="东文宋体" w:eastAsia="东文宋体" w:cs="东文宋体"/>
                <w:color w:val="000000"/>
                <w:kern w:val="0"/>
              </w:rPr>
              <w:t>≤</w:t>
            </w:r>
            <w:r>
              <w:rPr>
                <w:rFonts w:hint="eastAsia" w:ascii="仿宋_GB2312" w:hAnsi="宋体" w:eastAsia="仿宋_GB2312" w:cs="仿宋_GB2312"/>
                <w:color w:val="000000"/>
                <w:kern w:val="0"/>
              </w:rPr>
              <w:t>5个</w:t>
            </w:r>
          </w:p>
        </w:tc>
        <w:tc>
          <w:tcPr>
            <w:tcW w:w="76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2</w:t>
            </w:r>
          </w:p>
        </w:tc>
        <w:tc>
          <w:tcPr>
            <w:tcW w:w="99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60" w:type="dxa"/>
            <w:vMerge w:val="continue"/>
            <w:vAlign w:val="center"/>
          </w:tcPr>
          <w:p>
            <w:pPr>
              <w:widowControl/>
              <w:jc w:val="left"/>
              <w:rPr>
                <w:rFonts w:ascii="仿宋_GB2312" w:hAnsi="仿宋_GB2312" w:cs="宋体"/>
                <w:color w:val="000000"/>
                <w:kern w:val="0"/>
                <w:sz w:val="18"/>
                <w:szCs w:val="18"/>
              </w:rPr>
            </w:pPr>
          </w:p>
        </w:tc>
        <w:tc>
          <w:tcPr>
            <w:tcW w:w="6380" w:type="dxa"/>
            <w:vAlign w:val="center"/>
          </w:tcPr>
          <w:p>
            <w:pPr>
              <w:widowControl/>
              <w:rPr>
                <w:rFonts w:ascii="仿宋_GB2312" w:hAnsi="宋体" w:eastAsia="仿宋_GB2312" w:cs="仿宋_GB2312"/>
                <w:color w:val="000000"/>
                <w:kern w:val="0"/>
              </w:rPr>
            </w:pPr>
            <w:r>
              <w:rPr>
                <w:rFonts w:hint="eastAsia" w:ascii="仿宋_GB2312" w:hAnsi="仿宋_GB2312" w:eastAsia="仿宋_GB2312" w:cs="仿宋_GB2312"/>
                <w:color w:val="000000"/>
                <w:kern w:val="0"/>
              </w:rPr>
              <w:t>每个档口的使用面积不小于15</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，其中仅经营自制饮品的，档口使用面积不小于6</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p>
        </w:tc>
        <w:tc>
          <w:tcPr>
            <w:tcW w:w="76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3</w:t>
            </w:r>
          </w:p>
        </w:tc>
        <w:tc>
          <w:tcPr>
            <w:tcW w:w="99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60" w:type="dxa"/>
            <w:vMerge w:val="continue"/>
            <w:vAlign w:val="center"/>
          </w:tcPr>
          <w:p>
            <w:pPr>
              <w:widowControl/>
              <w:jc w:val="left"/>
              <w:rPr>
                <w:rFonts w:ascii="仿宋_GB2312" w:hAnsi="仿宋_GB2312" w:cs="宋体"/>
                <w:color w:val="000000"/>
                <w:kern w:val="0"/>
                <w:sz w:val="18"/>
                <w:szCs w:val="18"/>
              </w:rPr>
            </w:pPr>
          </w:p>
        </w:tc>
        <w:tc>
          <w:tcPr>
            <w:tcW w:w="6380" w:type="dxa"/>
            <w:vAlign w:val="center"/>
          </w:tcPr>
          <w:p>
            <w:pPr>
              <w:widowControl/>
              <w:rPr>
                <w:rFonts w:ascii="仿宋_GB2312" w:hAnsi="宋体" w:eastAsia="仿宋_GB2312" w:cs="仿宋_GB2312"/>
                <w:color w:val="000000"/>
                <w:kern w:val="0"/>
              </w:rPr>
            </w:pPr>
            <w:r>
              <w:rPr>
                <w:rFonts w:hint="eastAsia" w:ascii="仿宋_GB2312" w:hAnsi="仿宋_GB2312" w:eastAsia="仿宋_GB2312" w:cs="仿宋_GB2312"/>
                <w:color w:val="000000"/>
                <w:kern w:val="0"/>
              </w:rPr>
              <w:t>食品处理区(不含库房和专间)占加工经营场所使用面积的比例：500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以下（含500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）的≥1/5；500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～1500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（含1500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）的≥1/6；1500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～3000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（含3000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）的≥1/7；3000</w:t>
            </w:r>
            <w:r>
              <w:rPr>
                <w:rFonts w:hint="eastAsia" w:ascii="仿宋_GB2312" w:hAnsi="仿宋_GB2312" w:eastAsia="仿宋_GB2312" w:cs="仿宋_GB2312"/>
                <w:kern w:val="0"/>
                <w:szCs w:val="21"/>
                <w:lang w:val="zh-CN"/>
              </w:rPr>
              <w:t>m</w:t>
            </w:r>
            <w:r>
              <w:rPr>
                <w:rFonts w:hint="eastAsia" w:ascii="仿宋_GB2312" w:hAnsi="仿宋_GB2312" w:eastAsia="仿宋_GB2312" w:cs="仿宋_GB2312"/>
                <w:kern w:val="0"/>
                <w:szCs w:val="21"/>
                <w:vertAlign w:val="superscript"/>
                <w:lang w:val="zh-CN"/>
              </w:rPr>
              <w:t>2</w:t>
            </w:r>
            <w:r>
              <w:rPr>
                <w:rFonts w:hint="eastAsia" w:ascii="仿宋_GB2312" w:hAnsi="仿宋_GB2312" w:eastAsia="仿宋_GB2312" w:cs="仿宋_GB2312"/>
                <w:color w:val="000000"/>
                <w:kern w:val="0"/>
              </w:rPr>
              <w:t>以上的≥1/8</w:t>
            </w:r>
          </w:p>
        </w:tc>
        <w:tc>
          <w:tcPr>
            <w:tcW w:w="762" w:type="dxa"/>
            <w:vAlign w:val="center"/>
          </w:tcPr>
          <w:p>
            <w:pPr>
              <w:widowControl/>
              <w:jc w:val="center"/>
              <w:rPr>
                <w:rFonts w:ascii="仿宋_GB2312" w:hAnsi="仿宋_GB2312" w:cs="宋体"/>
                <w:color w:val="000000"/>
                <w:kern w:val="0"/>
                <w:szCs w:val="21"/>
              </w:rPr>
            </w:pPr>
            <w:r>
              <w:rPr>
                <w:rFonts w:ascii="仿宋_GB2312" w:hAnsi="宋体" w:eastAsia="仿宋_GB2312" w:cs="仿宋_GB2312"/>
                <w:color w:val="000000"/>
                <w:kern w:val="0"/>
              </w:rPr>
              <w:t>4</w:t>
            </w:r>
          </w:p>
        </w:tc>
        <w:tc>
          <w:tcPr>
            <w:tcW w:w="993" w:type="dxa"/>
            <w:vAlign w:val="center"/>
          </w:tcPr>
          <w:p>
            <w:pPr>
              <w:widowControl/>
              <w:jc w:val="center"/>
              <w:rPr>
                <w:rFonts w:ascii="仿宋_GB2312" w:hAnsi="仿宋_GB2312" w:cs="宋体"/>
                <w:color w:val="000000"/>
                <w:kern w:val="0"/>
                <w:szCs w:val="21"/>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宋体" w:eastAsia="仿宋_GB2312" w:cs="仿宋_GB2312"/>
                <w:color w:val="000000"/>
                <w:kern w:val="0"/>
              </w:rPr>
              <w:t>　</w:t>
            </w:r>
          </w:p>
        </w:tc>
        <w:tc>
          <w:tcPr>
            <w:tcW w:w="992" w:type="dxa"/>
            <w:vAlign w:val="center"/>
          </w:tcPr>
          <w:p>
            <w:pPr>
              <w:widowControl/>
              <w:jc w:val="center"/>
              <w:rPr>
                <w:rFonts w:ascii="仿宋_GB2312" w:hAnsi="仿宋_GB2312" w:cs="宋体"/>
                <w:color w:val="000000"/>
                <w:kern w:val="0"/>
                <w:szCs w:val="21"/>
              </w:rPr>
            </w:pPr>
            <w:r>
              <w:rPr>
                <w:rFonts w:ascii="仿宋_GB2312" w:hAnsi="宋体" w:eastAsia="仿宋_GB2312" w:cs="仿宋_GB2312"/>
                <w:color w:val="000000"/>
                <w:kern w:val="0"/>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60" w:type="dxa"/>
            <w:vMerge w:val="continue"/>
            <w:vAlign w:val="center"/>
          </w:tcPr>
          <w:p>
            <w:pPr>
              <w:widowControl/>
              <w:jc w:val="left"/>
              <w:rPr>
                <w:rFonts w:ascii="仿宋_GB2312" w:hAnsi="仿宋_GB2312" w:cs="宋体"/>
                <w:color w:val="000000"/>
                <w:kern w:val="0"/>
                <w:sz w:val="18"/>
                <w:szCs w:val="18"/>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设置与</w:t>
            </w:r>
            <w:r>
              <w:rPr>
                <w:rFonts w:hint="eastAsia" w:ascii="仿宋_GB2312" w:hAnsi="宋体" w:eastAsia="仿宋_GB2312" w:cs="仿宋_GB2312"/>
                <w:color w:val="000000"/>
                <w:kern w:val="0"/>
              </w:rPr>
              <w:t>制售的</w:t>
            </w:r>
            <w:r>
              <w:rPr>
                <w:rFonts w:ascii="仿宋_GB2312" w:hAnsi="宋体" w:eastAsia="仿宋_GB2312" w:cs="仿宋_GB2312"/>
                <w:color w:val="000000"/>
                <w:kern w:val="0"/>
              </w:rPr>
              <w:t>食品</w:t>
            </w:r>
            <w:r>
              <w:rPr>
                <w:rFonts w:hint="eastAsia" w:ascii="仿宋_GB2312" w:hAnsi="宋体" w:eastAsia="仿宋_GB2312" w:cs="仿宋_GB2312"/>
                <w:color w:val="000000"/>
                <w:kern w:val="0"/>
              </w:rPr>
              <w:t>品种、数量</w:t>
            </w:r>
            <w:r>
              <w:rPr>
                <w:rFonts w:ascii="仿宋_GB2312" w:hAnsi="宋体" w:eastAsia="仿宋_GB2312" w:cs="仿宋_GB2312"/>
                <w:color w:val="000000"/>
                <w:kern w:val="0"/>
              </w:rPr>
              <w:t>相适应的初加工、切配、烹饪、制作、餐用具清洗消毒、备（分）餐等加工操作场所，以及食品库房、更衣</w:t>
            </w:r>
            <w:r>
              <w:rPr>
                <w:rFonts w:hint="eastAsia" w:ascii="仿宋_GB2312" w:hAnsi="宋体" w:eastAsia="仿宋_GB2312" w:cs="仿宋_GB2312"/>
                <w:color w:val="000000"/>
                <w:kern w:val="0"/>
              </w:rPr>
              <w:t>区</w:t>
            </w:r>
            <w:r>
              <w:rPr>
                <w:rFonts w:ascii="仿宋_GB2312" w:hAnsi="宋体" w:eastAsia="仿宋_GB2312" w:cs="仿宋_GB2312"/>
                <w:color w:val="000000"/>
                <w:kern w:val="0"/>
              </w:rPr>
              <w:t>、清洁工具存放场所等</w:t>
            </w:r>
            <w:r>
              <w:rPr>
                <w:rFonts w:hint="eastAsia" w:ascii="仿宋_GB2312" w:hAnsi="宋体" w:eastAsia="仿宋_GB2312" w:cs="仿宋_GB2312"/>
                <w:color w:val="000000"/>
                <w:kern w:val="0"/>
              </w:rPr>
              <w:t>，</w:t>
            </w:r>
            <w:r>
              <w:rPr>
                <w:rFonts w:ascii="仿宋_GB2312" w:hAnsi="宋体" w:eastAsia="仿宋_GB2312" w:cs="仿宋_GB2312"/>
                <w:color w:val="000000"/>
                <w:kern w:val="0"/>
              </w:rPr>
              <w:t>各场所均设在室内</w:t>
            </w:r>
          </w:p>
        </w:tc>
        <w:tc>
          <w:tcPr>
            <w:tcW w:w="76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5</w:t>
            </w:r>
          </w:p>
        </w:tc>
        <w:tc>
          <w:tcPr>
            <w:tcW w:w="99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60" w:type="dxa"/>
            <w:vMerge w:val="continue"/>
            <w:vAlign w:val="center"/>
          </w:tcPr>
          <w:p>
            <w:pPr>
              <w:widowControl/>
              <w:jc w:val="left"/>
              <w:rPr>
                <w:rFonts w:ascii="仿宋_GB2312" w:hAnsi="仿宋_GB2312" w:cs="宋体"/>
                <w:color w:val="000000"/>
                <w:kern w:val="0"/>
                <w:sz w:val="18"/>
                <w:szCs w:val="18"/>
              </w:rPr>
            </w:pPr>
          </w:p>
        </w:tc>
        <w:tc>
          <w:tcPr>
            <w:tcW w:w="6380" w:type="dxa"/>
            <w:vAlign w:val="center"/>
          </w:tcPr>
          <w:p>
            <w:pPr>
              <w:widowControl/>
              <w:rPr>
                <w:rFonts w:ascii="仿宋_GB2312" w:hAnsi="宋体" w:eastAsia="仿宋_GB2312" w:cs="仿宋_GB2312"/>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有污染风险的下沉式隔油池设置在餐饮服务场所外</w:t>
            </w:r>
            <w:r>
              <w:rPr>
                <w:rFonts w:hint="eastAsia" w:ascii="仿宋_GB2312" w:hAnsi="等线" w:eastAsia="仿宋_GB2312" w:cs="宋体"/>
                <w:color w:val="000000" w:themeColor="text1"/>
                <w:kern w:val="0"/>
                <w14:textFill>
                  <w14:solidFill>
                    <w14:schemeClr w14:val="tx1"/>
                  </w14:solidFill>
                </w14:textFill>
              </w:rPr>
              <w:t>或远离食品处理区的位置</w:t>
            </w:r>
          </w:p>
        </w:tc>
        <w:tc>
          <w:tcPr>
            <w:tcW w:w="76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6</w:t>
            </w:r>
          </w:p>
        </w:tc>
        <w:tc>
          <w:tcPr>
            <w:tcW w:w="99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60" w:type="dxa"/>
            <w:vMerge w:val="continue"/>
            <w:vAlign w:val="center"/>
          </w:tcPr>
          <w:p>
            <w:pPr>
              <w:widowControl/>
              <w:jc w:val="left"/>
              <w:rPr>
                <w:rFonts w:ascii="仿宋_GB2312" w:hAnsi="仿宋_GB2312" w:cs="宋体"/>
                <w:color w:val="000000"/>
                <w:kern w:val="0"/>
                <w:sz w:val="18"/>
                <w:szCs w:val="18"/>
              </w:rPr>
            </w:pPr>
          </w:p>
        </w:tc>
        <w:tc>
          <w:tcPr>
            <w:tcW w:w="6380" w:type="dxa"/>
            <w:vAlign w:val="center"/>
          </w:tcPr>
          <w:p>
            <w:pPr>
              <w:widowControl/>
              <w:adjustRightInd w:val="0"/>
              <w:snapToGrid w:val="0"/>
              <w:rPr>
                <w:rFonts w:ascii="仿宋_GB2312" w:hAnsi="宋体" w:eastAsia="仿宋_GB2312" w:cs="仿宋_GB2312"/>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油水分离器安装于室内的，应设置通风换气装置</w:t>
            </w:r>
          </w:p>
        </w:tc>
        <w:tc>
          <w:tcPr>
            <w:tcW w:w="762" w:type="dxa"/>
            <w:vAlign w:val="center"/>
          </w:tcPr>
          <w:p>
            <w:pPr>
              <w:widowControl/>
              <w:snapToGrid w:val="0"/>
              <w:jc w:val="center"/>
              <w:rPr>
                <w:rFonts w:ascii="仿宋_GB2312" w:hAnsi="仿宋_GB2312" w:cs="宋体"/>
                <w:color w:val="000000"/>
                <w:kern w:val="0"/>
                <w:szCs w:val="21"/>
              </w:rPr>
            </w:pPr>
            <w:r>
              <w:rPr>
                <w:rFonts w:hint="eastAsia" w:ascii="仿宋_GB2312" w:hAnsi="仿宋_GB2312" w:cs="宋体"/>
                <w:color w:val="000000"/>
                <w:kern w:val="0"/>
                <w:szCs w:val="21"/>
              </w:rPr>
              <w:t>7</w:t>
            </w:r>
          </w:p>
        </w:tc>
        <w:tc>
          <w:tcPr>
            <w:tcW w:w="993" w:type="dxa"/>
            <w:vAlign w:val="center"/>
          </w:tcPr>
          <w:p>
            <w:pPr>
              <w:widowControl/>
              <w:snapToGrid w:val="0"/>
              <w:jc w:val="center"/>
              <w:rPr>
                <w:rFonts w:ascii="仿宋_GB2312" w:hAnsi="仿宋_GB2312" w:cs="宋体"/>
                <w:color w:val="000000"/>
                <w:kern w:val="0"/>
                <w:szCs w:val="21"/>
              </w:rPr>
            </w:pPr>
            <w:r>
              <w:rPr>
                <w:rFonts w:ascii="仿宋_GB2312" w:hAnsi="宋体" w:eastAsia="仿宋_GB2312" w:cs="仿宋_GB2312"/>
                <w:color w:val="000000"/>
                <w:kern w:val="0"/>
              </w:rPr>
              <w:t>*</w:t>
            </w:r>
          </w:p>
        </w:tc>
        <w:tc>
          <w:tcPr>
            <w:tcW w:w="850" w:type="dxa"/>
            <w:vAlign w:val="center"/>
          </w:tcPr>
          <w:p>
            <w:pPr>
              <w:widowControl/>
              <w:snapToGrid w:val="0"/>
              <w:jc w:val="center"/>
              <w:rPr>
                <w:rFonts w:ascii="仿宋_GB2312" w:hAnsi="仿宋_GB2312" w:cs="宋体"/>
                <w:color w:val="000000"/>
                <w:kern w:val="0"/>
                <w:szCs w:val="21"/>
              </w:rPr>
            </w:pPr>
            <w:r>
              <w:rPr>
                <w:rFonts w:hint="eastAsia" w:ascii="仿宋_GB2312" w:hAnsi="宋体" w:eastAsia="仿宋_GB2312" w:cs="仿宋_GB2312"/>
                <w:color w:val="FF0000"/>
                <w:kern w:val="0"/>
              </w:rPr>
              <w:t>　</w:t>
            </w:r>
          </w:p>
        </w:tc>
        <w:tc>
          <w:tcPr>
            <w:tcW w:w="992" w:type="dxa"/>
            <w:vAlign w:val="center"/>
          </w:tcPr>
          <w:p>
            <w:pPr>
              <w:widowControl/>
              <w:snapToGrid w:val="0"/>
              <w:jc w:val="center"/>
              <w:rPr>
                <w:rFonts w:ascii="仿宋_GB2312" w:hAnsi="仿宋_GB2312" w:cs="宋体"/>
                <w:color w:val="000000"/>
                <w:kern w:val="0"/>
                <w:szCs w:val="21"/>
              </w:rPr>
            </w:pPr>
            <w:r>
              <w:rPr>
                <w:rFonts w:hint="eastAsia" w:ascii="仿宋_GB2312" w:hAnsi="宋体" w:eastAsia="仿宋_GB2312" w:cs="仿宋_GB2312"/>
                <w:color w:val="FF0000"/>
                <w:kern w:val="0"/>
              </w:rPr>
              <w:t>　</w:t>
            </w:r>
          </w:p>
        </w:tc>
        <w:tc>
          <w:tcPr>
            <w:tcW w:w="1203" w:type="dxa"/>
            <w:vAlign w:val="center"/>
          </w:tcPr>
          <w:p>
            <w:pPr>
              <w:widowControl/>
              <w:snapToGrid w:val="0"/>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jc w:val="left"/>
              <w:rPr>
                <w:rFonts w:ascii="仿宋_GB2312" w:hAnsi="仿宋_GB2312" w:cs="宋体"/>
                <w:color w:val="000000"/>
                <w:kern w:val="0"/>
                <w:sz w:val="18"/>
                <w:szCs w:val="18"/>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lang w:eastAsia="zh-CN"/>
              </w:rPr>
              <w:t>食品处理区</w:t>
            </w:r>
            <w:r>
              <w:rPr>
                <w:rFonts w:ascii="仿宋_GB2312" w:hAnsi="宋体" w:eastAsia="仿宋_GB2312" w:cs="仿宋_GB2312"/>
                <w:color w:val="000000"/>
                <w:kern w:val="0"/>
              </w:rPr>
              <w:t>按照原料进入、原料加工制作、</w:t>
            </w:r>
            <w:r>
              <w:rPr>
                <w:rFonts w:hint="eastAsia" w:ascii="仿宋_GB2312" w:hAnsi="宋体" w:eastAsia="仿宋_GB2312" w:cs="仿宋_GB2312"/>
                <w:color w:val="000000"/>
                <w:kern w:val="0"/>
              </w:rPr>
              <w:t>半成品加工制作、</w:t>
            </w:r>
            <w:r>
              <w:rPr>
                <w:rFonts w:ascii="仿宋_GB2312" w:hAnsi="宋体" w:eastAsia="仿宋_GB2312" w:cs="仿宋_GB2312"/>
                <w:color w:val="000000"/>
                <w:kern w:val="0"/>
              </w:rPr>
              <w:t>成品供应的</w:t>
            </w:r>
            <w:r>
              <w:rPr>
                <w:rFonts w:hint="eastAsia" w:ascii="仿宋_GB2312" w:hAnsi="宋体" w:eastAsia="仿宋_GB2312" w:cs="仿宋_GB2312"/>
                <w:color w:val="000000"/>
                <w:kern w:val="0"/>
              </w:rPr>
              <w:t>流程</w:t>
            </w:r>
            <w:r>
              <w:rPr>
                <w:rFonts w:ascii="仿宋_GB2312" w:hAnsi="宋体" w:eastAsia="仿宋_GB2312" w:cs="仿宋_GB2312"/>
                <w:color w:val="000000"/>
                <w:kern w:val="0"/>
              </w:rPr>
              <w:t>合理布局，防止食品在存放、</w:t>
            </w:r>
            <w:r>
              <w:rPr>
                <w:rFonts w:hint="eastAsia" w:ascii="仿宋_GB2312" w:hAnsi="宋体" w:eastAsia="仿宋_GB2312" w:cs="仿宋_GB2312"/>
                <w:color w:val="000000"/>
                <w:kern w:val="0"/>
              </w:rPr>
              <w:t>加工和传递</w:t>
            </w:r>
            <w:r>
              <w:rPr>
                <w:rFonts w:ascii="仿宋_GB2312" w:hAnsi="宋体" w:eastAsia="仿宋_GB2312" w:cs="仿宋_GB2312"/>
                <w:color w:val="000000"/>
                <w:kern w:val="0"/>
              </w:rPr>
              <w:t>中产生交叉污染</w:t>
            </w:r>
          </w:p>
        </w:tc>
        <w:tc>
          <w:tcPr>
            <w:tcW w:w="76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8</w:t>
            </w:r>
          </w:p>
        </w:tc>
        <w:tc>
          <w:tcPr>
            <w:tcW w:w="99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60" w:type="dxa"/>
            <w:vMerge w:val="continue"/>
            <w:vAlign w:val="center"/>
          </w:tcPr>
          <w:p>
            <w:pPr>
              <w:widowControl/>
              <w:jc w:val="left"/>
              <w:rPr>
                <w:rFonts w:ascii="仿宋_GB2312" w:hAnsi="仿宋_GB2312" w:cs="宋体"/>
                <w:color w:val="000000"/>
                <w:kern w:val="0"/>
                <w:sz w:val="18"/>
                <w:szCs w:val="18"/>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用于</w:t>
            </w:r>
            <w:r>
              <w:rPr>
                <w:rFonts w:hint="eastAsia" w:ascii="仿宋_GB2312" w:hAnsi="宋体" w:eastAsia="仿宋_GB2312" w:cs="仿宋_GB2312"/>
                <w:color w:val="000000"/>
                <w:kern w:val="0"/>
              </w:rPr>
              <w:t>盛放</w:t>
            </w:r>
            <w:r>
              <w:rPr>
                <w:rFonts w:ascii="仿宋_GB2312" w:hAnsi="宋体" w:eastAsia="仿宋_GB2312" w:cs="仿宋_GB2312"/>
                <w:color w:val="000000"/>
                <w:kern w:val="0"/>
              </w:rPr>
              <w:t>原料、半成品、成品的容器</w:t>
            </w:r>
            <w:r>
              <w:rPr>
                <w:rFonts w:hint="eastAsia" w:ascii="仿宋_GB2312" w:hAnsi="宋体" w:eastAsia="仿宋_GB2312" w:cs="仿宋_GB2312"/>
                <w:color w:val="000000"/>
                <w:kern w:val="0"/>
              </w:rPr>
              <w:t>和使用的工具、用具</w:t>
            </w:r>
            <w:r>
              <w:rPr>
                <w:rFonts w:ascii="仿宋_GB2312" w:hAnsi="宋体" w:eastAsia="仿宋_GB2312" w:cs="仿宋_GB2312"/>
                <w:color w:val="000000"/>
                <w:kern w:val="0"/>
              </w:rPr>
              <w:t>，</w:t>
            </w:r>
            <w:r>
              <w:rPr>
                <w:rFonts w:hint="eastAsia" w:ascii="仿宋_GB2312" w:hAnsi="宋体" w:eastAsia="仿宋_GB2312" w:cs="仿宋_GB2312"/>
                <w:color w:val="000000"/>
                <w:kern w:val="0"/>
              </w:rPr>
              <w:t>应</w:t>
            </w:r>
            <w:r>
              <w:rPr>
                <w:rFonts w:ascii="仿宋_GB2312" w:hAnsi="宋体" w:eastAsia="仿宋_GB2312" w:cs="仿宋_GB2312"/>
                <w:color w:val="000000"/>
                <w:kern w:val="0"/>
              </w:rPr>
              <w:t>有明显的区分，分开定位存放</w:t>
            </w:r>
          </w:p>
        </w:tc>
        <w:tc>
          <w:tcPr>
            <w:tcW w:w="76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9</w:t>
            </w:r>
          </w:p>
        </w:tc>
        <w:tc>
          <w:tcPr>
            <w:tcW w:w="99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0" w:type="dxa"/>
            <w:vMerge w:val="restart"/>
            <w:vAlign w:val="center"/>
          </w:tcPr>
          <w:p>
            <w:pPr>
              <w:widowControl/>
              <w:jc w:val="left"/>
              <w:rPr>
                <w:rFonts w:ascii="仿宋_GB2312" w:hAnsi="仿宋_GB2312" w:cs="宋体"/>
                <w:color w:val="000000"/>
                <w:kern w:val="0"/>
                <w:sz w:val="18"/>
                <w:szCs w:val="18"/>
              </w:rPr>
            </w:pPr>
            <w:r>
              <w:rPr>
                <w:rFonts w:ascii="仿宋_GB2312" w:hAnsi="宋体" w:eastAsia="仿宋_GB2312" w:cs="仿宋_GB2312"/>
                <w:color w:val="000000"/>
                <w:kern w:val="0"/>
              </w:rPr>
              <w:t>2.场所设置和布局</w:t>
            </w: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lang w:eastAsia="zh-CN"/>
              </w:rPr>
              <w:t>餐饮服务场所内</w:t>
            </w:r>
            <w:r>
              <w:rPr>
                <w:rFonts w:ascii="仿宋_GB2312" w:hAnsi="宋体" w:eastAsia="仿宋_GB2312" w:cs="仿宋_GB2312"/>
                <w:color w:val="000000"/>
                <w:kern w:val="0"/>
              </w:rPr>
              <w:t>不得设置办公室、卫生间</w:t>
            </w:r>
            <w:r>
              <w:rPr>
                <w:rFonts w:hint="eastAsia" w:ascii="仿宋_GB2312" w:hAnsi="宋体" w:eastAsia="仿宋_GB2312" w:cs="仿宋_GB2312"/>
                <w:color w:val="000000"/>
                <w:kern w:val="0"/>
              </w:rPr>
              <w:t>，食品处理区</w:t>
            </w:r>
            <w:r>
              <w:rPr>
                <w:rFonts w:ascii="仿宋_GB2312" w:hAnsi="宋体" w:eastAsia="仿宋_GB2312" w:cs="仿宋_GB2312"/>
                <w:color w:val="000000"/>
                <w:kern w:val="0"/>
              </w:rPr>
              <w:t>无圈养、宰杀禽畜类动物的区域</w:t>
            </w:r>
          </w:p>
        </w:tc>
        <w:tc>
          <w:tcPr>
            <w:tcW w:w="76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10</w:t>
            </w:r>
          </w:p>
        </w:tc>
        <w:tc>
          <w:tcPr>
            <w:tcW w:w="99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0" w:type="dxa"/>
            <w:vMerge w:val="continue"/>
            <w:vAlign w:val="center"/>
          </w:tcPr>
          <w:p>
            <w:pPr>
              <w:widowControl/>
              <w:jc w:val="left"/>
              <w:rPr>
                <w:rFonts w:ascii="仿宋_GB2312" w:hAnsi="仿宋_GB2312" w:cs="宋体"/>
                <w:color w:val="000000"/>
                <w:kern w:val="0"/>
                <w:szCs w:val="21"/>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外卖取餐区应与加工制作区分离，并标识明显</w:t>
            </w:r>
          </w:p>
        </w:tc>
        <w:tc>
          <w:tcPr>
            <w:tcW w:w="762" w:type="dxa"/>
            <w:vAlign w:val="center"/>
          </w:tcPr>
          <w:p>
            <w:pPr>
              <w:widowControl/>
              <w:jc w:val="center"/>
              <w:rPr>
                <w:rFonts w:ascii="仿宋_GB2312" w:hAnsi="仿宋_GB2312" w:cs="宋体"/>
                <w:color w:val="000000"/>
                <w:kern w:val="0"/>
                <w:szCs w:val="21"/>
              </w:rPr>
            </w:pPr>
            <w:r>
              <w:rPr>
                <w:rFonts w:ascii="仿宋_GB2312" w:hAnsi="宋体" w:eastAsia="仿宋_GB2312" w:cs="仿宋_GB2312"/>
                <w:color w:val="000000"/>
                <w:kern w:val="0"/>
              </w:rPr>
              <w:t>11</w:t>
            </w:r>
          </w:p>
        </w:tc>
        <w:tc>
          <w:tcPr>
            <w:tcW w:w="993" w:type="dxa"/>
            <w:vAlign w:val="center"/>
          </w:tcPr>
          <w:p>
            <w:pPr>
              <w:widowControl/>
              <w:jc w:val="center"/>
              <w:rPr>
                <w:rFonts w:ascii="仿宋_GB2312" w:hAnsi="仿宋_GB2312" w:cs="宋体"/>
                <w:color w:val="000000"/>
                <w:kern w:val="0"/>
                <w:szCs w:val="21"/>
              </w:rPr>
            </w:pPr>
            <w:r>
              <w:rPr>
                <w:rFonts w:ascii="仿宋_GB2312" w:hAnsi="宋体" w:eastAsia="仿宋_GB2312" w:cs="仿宋_GB2312"/>
                <w:color w:val="000000"/>
                <w:kern w:val="0"/>
              </w:rPr>
              <w:t>*</w:t>
            </w:r>
            <w:r>
              <w:rPr>
                <w:rFonts w:hint="eastAsia"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FF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FF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FF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jc w:val="left"/>
              <w:rPr>
                <w:rFonts w:ascii="仿宋_GB2312" w:hAnsi="仿宋_GB2312" w:cs="宋体"/>
                <w:color w:val="000000"/>
                <w:kern w:val="0"/>
                <w:szCs w:val="21"/>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设专用于拖把等清洁工具（如扫帚、拖把、抹布、刷子等）的清洗水池或设施，其位置不会污染食品及其加工制作过程。清洁工具的清洗水池应与餐用具清洗消毒水池、食品原料清洗水池明显区分</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12</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　</w:t>
            </w:r>
          </w:p>
        </w:tc>
        <w:tc>
          <w:tcPr>
            <w:tcW w:w="99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jc w:val="left"/>
              <w:rPr>
                <w:rFonts w:ascii="仿宋_GB2312" w:hAnsi="仿宋_GB2312" w:cs="宋体"/>
                <w:color w:val="000000"/>
                <w:kern w:val="0"/>
                <w:szCs w:val="21"/>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冷荤</w:t>
            </w:r>
            <w:r>
              <w:rPr>
                <w:rFonts w:ascii="仿宋_GB2312" w:hAnsi="宋体" w:eastAsia="仿宋_GB2312" w:cs="仿宋_GB2312"/>
                <w:color w:val="000000"/>
                <w:kern w:val="0"/>
              </w:rPr>
              <w:t>类、冷加工糕点</w:t>
            </w:r>
            <w:r>
              <w:rPr>
                <w:rFonts w:hint="eastAsia" w:ascii="仿宋_GB2312" w:hAnsi="宋体" w:eastAsia="仿宋_GB2312" w:cs="仿宋_GB2312"/>
                <w:color w:val="000000"/>
                <w:kern w:val="0"/>
              </w:rPr>
              <w:t>、生食类</w:t>
            </w:r>
            <w:r>
              <w:rPr>
                <w:rFonts w:ascii="仿宋_GB2312" w:hAnsi="宋体" w:eastAsia="仿宋_GB2312" w:cs="仿宋_GB2312"/>
                <w:color w:val="000000"/>
                <w:kern w:val="0"/>
              </w:rPr>
              <w:t>和有分餐操作的，应分别设置相应的制作专间</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13</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　</w:t>
            </w:r>
          </w:p>
        </w:tc>
        <w:tc>
          <w:tcPr>
            <w:tcW w:w="99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　</w:t>
            </w:r>
          </w:p>
        </w:tc>
        <w:tc>
          <w:tcPr>
            <w:tcW w:w="120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restart"/>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3.初加工场所</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有初加工过程的，设独立</w:t>
            </w:r>
            <w:r>
              <w:rPr>
                <w:rFonts w:hint="eastAsia" w:ascii="仿宋_GB2312" w:hAnsi="宋体" w:eastAsia="仿宋_GB2312" w:cs="仿宋_GB2312"/>
                <w:color w:val="000000"/>
                <w:kern w:val="0"/>
              </w:rPr>
              <w:t>隔间</w:t>
            </w:r>
            <w:r>
              <w:rPr>
                <w:rFonts w:ascii="仿宋_GB2312" w:hAnsi="宋体" w:eastAsia="仿宋_GB2312" w:cs="仿宋_GB2312"/>
                <w:color w:val="000000"/>
                <w:kern w:val="0"/>
              </w:rPr>
              <w:t>的</w:t>
            </w:r>
            <w:r>
              <w:rPr>
                <w:rFonts w:hint="eastAsia" w:ascii="仿宋_GB2312" w:hAnsi="宋体" w:eastAsia="仿宋_GB2312" w:cs="仿宋_GB2312"/>
                <w:color w:val="000000"/>
                <w:kern w:val="0"/>
              </w:rPr>
              <w:t>统一</w:t>
            </w:r>
            <w:r>
              <w:rPr>
                <w:rFonts w:ascii="仿宋_GB2312" w:hAnsi="宋体" w:eastAsia="仿宋_GB2312" w:cs="仿宋_GB2312"/>
                <w:color w:val="000000"/>
                <w:kern w:val="0"/>
              </w:rPr>
              <w:t>初加工间</w:t>
            </w:r>
            <w:r>
              <w:rPr>
                <w:rFonts w:hint="eastAsia" w:ascii="仿宋_GB2312" w:hAnsi="宋体" w:eastAsia="仿宋_GB2312" w:cs="仿宋_GB2312"/>
                <w:color w:val="000000"/>
                <w:kern w:val="0"/>
              </w:rPr>
              <w:t>；</w:t>
            </w:r>
            <w:r>
              <w:rPr>
                <w:rFonts w:ascii="仿宋_GB2312" w:hAnsi="宋体" w:eastAsia="仿宋_GB2312" w:cs="仿宋_GB2312"/>
                <w:color w:val="000000"/>
                <w:kern w:val="0"/>
              </w:rPr>
              <w:t>初加工场所</w:t>
            </w:r>
            <w:r>
              <w:rPr>
                <w:rFonts w:hint="eastAsia" w:ascii="仿宋_GB2312" w:hAnsi="宋体" w:eastAsia="仿宋_GB2312" w:cs="仿宋_GB2312"/>
                <w:color w:val="000000"/>
                <w:kern w:val="0"/>
              </w:rPr>
              <w:t>分设在档口的</w:t>
            </w:r>
            <w:r>
              <w:rPr>
                <w:rFonts w:ascii="仿宋_GB2312" w:hAnsi="宋体" w:eastAsia="仿宋_GB2312" w:cs="仿宋_GB2312"/>
                <w:color w:val="000000"/>
                <w:kern w:val="0"/>
              </w:rPr>
              <w:t>，每个有初加工操作的档口都</w:t>
            </w:r>
            <w:r>
              <w:rPr>
                <w:rFonts w:hint="eastAsia" w:ascii="仿宋_GB2312" w:hAnsi="宋体" w:eastAsia="仿宋_GB2312" w:cs="仿宋_GB2312"/>
                <w:color w:val="000000"/>
                <w:kern w:val="0"/>
              </w:rPr>
              <w:t>应</w:t>
            </w:r>
            <w:r>
              <w:rPr>
                <w:rFonts w:ascii="仿宋_GB2312" w:hAnsi="宋体" w:eastAsia="仿宋_GB2312" w:cs="仿宋_GB2312"/>
                <w:color w:val="000000"/>
                <w:kern w:val="0"/>
              </w:rPr>
              <w:t>设独立</w:t>
            </w:r>
            <w:r>
              <w:rPr>
                <w:rFonts w:hint="eastAsia" w:ascii="仿宋_GB2312" w:hAnsi="宋体" w:eastAsia="仿宋_GB2312" w:cs="仿宋_GB2312"/>
                <w:color w:val="000000"/>
                <w:kern w:val="0"/>
              </w:rPr>
              <w:t>隔间</w:t>
            </w:r>
            <w:r>
              <w:rPr>
                <w:rFonts w:ascii="仿宋_GB2312" w:hAnsi="宋体" w:eastAsia="仿宋_GB2312" w:cs="仿宋_GB2312"/>
                <w:color w:val="000000"/>
                <w:kern w:val="0"/>
              </w:rPr>
              <w:t>的初加工间</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14</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统一初加工间的</w:t>
            </w:r>
            <w:r>
              <w:rPr>
                <w:rFonts w:ascii="仿宋_GB2312" w:hAnsi="宋体" w:eastAsia="仿宋_GB2312" w:cs="仿宋_GB2312"/>
                <w:color w:val="000000"/>
                <w:kern w:val="0"/>
              </w:rPr>
              <w:t>分别设置</w:t>
            </w:r>
            <w:r>
              <w:rPr>
                <w:rFonts w:hint="eastAsia" w:ascii="仿宋_GB2312" w:hAnsi="宋体" w:eastAsia="仿宋_GB2312" w:cs="仿宋_GB2312"/>
                <w:color w:val="000000"/>
                <w:kern w:val="0"/>
              </w:rPr>
              <w:t>植物性食品、畜禽产品、水产品</w:t>
            </w:r>
            <w:r>
              <w:rPr>
                <w:rFonts w:ascii="仿宋_GB2312" w:hAnsi="宋体" w:eastAsia="仿宋_GB2312" w:cs="仿宋_GB2312"/>
                <w:color w:val="000000"/>
                <w:kern w:val="0"/>
              </w:rPr>
              <w:t>等</w:t>
            </w:r>
            <w:r>
              <w:rPr>
                <w:rFonts w:hint="eastAsia" w:ascii="仿宋_GB2312" w:hAnsi="宋体" w:eastAsia="仿宋_GB2312" w:cs="仿宋_GB2312"/>
                <w:color w:val="000000"/>
                <w:kern w:val="0"/>
              </w:rPr>
              <w:t>原料清洗水池；每个档口分别设置初加工间的，</w:t>
            </w:r>
            <w:r>
              <w:rPr>
                <w:rFonts w:ascii="仿宋_GB2312" w:hAnsi="宋体" w:eastAsia="仿宋_GB2312" w:cs="仿宋_GB2312"/>
                <w:color w:val="000000"/>
                <w:kern w:val="0"/>
              </w:rPr>
              <w:t>分别设置</w:t>
            </w:r>
            <w:r>
              <w:rPr>
                <w:rFonts w:hint="eastAsia" w:ascii="仿宋_GB2312" w:hAnsi="宋体" w:eastAsia="仿宋_GB2312" w:cs="仿宋_GB2312"/>
                <w:color w:val="000000"/>
                <w:kern w:val="0"/>
              </w:rPr>
              <w:t>植物性食品、动物性食品</w:t>
            </w:r>
            <w:r>
              <w:rPr>
                <w:rFonts w:ascii="仿宋_GB2312" w:hAnsi="宋体" w:eastAsia="仿宋_GB2312" w:cs="仿宋_GB2312"/>
                <w:color w:val="000000"/>
                <w:kern w:val="0"/>
              </w:rPr>
              <w:t>等</w:t>
            </w:r>
            <w:r>
              <w:rPr>
                <w:rFonts w:hint="eastAsia" w:ascii="仿宋_GB2312" w:hAnsi="宋体" w:eastAsia="仿宋_GB2312" w:cs="仿宋_GB2312"/>
                <w:color w:val="000000"/>
                <w:kern w:val="0"/>
              </w:rPr>
              <w:t>原料清洗水池。</w:t>
            </w:r>
            <w:r>
              <w:rPr>
                <w:rFonts w:ascii="仿宋_GB2312" w:hAnsi="宋体" w:eastAsia="仿宋_GB2312" w:cs="仿宋_GB2312"/>
                <w:color w:val="000000"/>
                <w:kern w:val="0"/>
              </w:rPr>
              <w:t>水池数量和容量与加工食品的数量相适应；各类水池以明显标识标明其用途</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15</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水产品原料需宰杀的应设置宰杀操作台</w:t>
            </w:r>
          </w:p>
        </w:tc>
        <w:tc>
          <w:tcPr>
            <w:tcW w:w="762"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16</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60" w:type="dxa"/>
            <w:vMerge w:val="restart"/>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4.切配烹饪场所</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切配</w:t>
            </w:r>
            <w:r>
              <w:rPr>
                <w:rFonts w:hint="eastAsia" w:ascii="仿宋_GB2312" w:hAnsi="宋体" w:eastAsia="仿宋_GB2312" w:cs="仿宋_GB2312"/>
                <w:color w:val="000000"/>
                <w:kern w:val="0"/>
              </w:rPr>
              <w:t>、</w:t>
            </w:r>
            <w:r>
              <w:rPr>
                <w:rFonts w:ascii="仿宋_GB2312" w:hAnsi="宋体" w:eastAsia="仿宋_GB2312" w:cs="仿宋_GB2312"/>
                <w:color w:val="000000"/>
                <w:kern w:val="0"/>
              </w:rPr>
              <w:t>烹饪面积与经营规模相适应，区域相对独立</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17</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烹饪场所</w:t>
            </w:r>
            <w:r>
              <w:rPr>
                <w:rFonts w:hint="eastAsia" w:ascii="仿宋_GB2312" w:hAnsi="宋体" w:eastAsia="仿宋_GB2312" w:cs="仿宋_GB2312"/>
                <w:color w:val="000000"/>
                <w:kern w:val="0"/>
              </w:rPr>
              <w:t>应当设置</w:t>
            </w:r>
            <w:r>
              <w:rPr>
                <w:rFonts w:ascii="仿宋_GB2312" w:hAnsi="宋体" w:eastAsia="仿宋_GB2312" w:cs="仿宋_GB2312"/>
                <w:color w:val="000000"/>
                <w:kern w:val="0"/>
              </w:rPr>
              <w:t>机械排风</w:t>
            </w:r>
            <w:r>
              <w:rPr>
                <w:rFonts w:hint="eastAsia" w:ascii="仿宋_GB2312" w:hAnsi="宋体" w:eastAsia="仿宋_GB2312" w:cs="仿宋_GB2312"/>
                <w:color w:val="000000"/>
                <w:kern w:val="0"/>
              </w:rPr>
              <w:t>设施和调温设施</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18</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60" w:type="dxa"/>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5.餐用具清洗消毒场所</w:t>
            </w: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应</w:t>
            </w:r>
            <w:r>
              <w:rPr>
                <w:rFonts w:ascii="仿宋_GB2312" w:hAnsi="宋体" w:eastAsia="仿宋_GB2312" w:cs="仿宋_GB2312"/>
                <w:color w:val="000000"/>
                <w:kern w:val="0"/>
              </w:rPr>
              <w:t>设独立隔间的</w:t>
            </w:r>
            <w:r>
              <w:rPr>
                <w:rFonts w:hint="eastAsia" w:ascii="仿宋_GB2312" w:hAnsi="宋体" w:eastAsia="仿宋_GB2312" w:cs="仿宋_GB2312"/>
                <w:color w:val="000000"/>
                <w:kern w:val="0"/>
              </w:rPr>
              <w:t>统一</w:t>
            </w:r>
            <w:r>
              <w:rPr>
                <w:rFonts w:ascii="仿宋_GB2312" w:hAnsi="宋体" w:eastAsia="仿宋_GB2312" w:cs="仿宋_GB2312"/>
                <w:color w:val="000000"/>
                <w:kern w:val="0"/>
              </w:rPr>
              <w:t>餐用具清洗消毒场所，面积与其经营规模相适应</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19</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60" w:type="dxa"/>
            <w:vMerge w:val="restart"/>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5.餐用具清洗消毒场所</w:t>
            </w:r>
          </w:p>
        </w:tc>
        <w:tc>
          <w:tcPr>
            <w:tcW w:w="6380" w:type="dxa"/>
            <w:vAlign w:val="center"/>
          </w:tcPr>
          <w:p>
            <w:pPr>
              <w:widowControl/>
              <w:rPr>
                <w:rFonts w:ascii="仿宋_GB2312" w:hAnsi="宋体" w:eastAsia="仿宋_GB2312" w:cs="仿宋_GB2312"/>
                <w:color w:val="000000" w:themeColor="text1"/>
                <w:kern w:val="0"/>
                <w14:textFill>
                  <w14:solidFill>
                    <w14:schemeClr w14:val="tx1"/>
                  </w14:solidFill>
                </w14:textFill>
              </w:rPr>
            </w:pPr>
            <w:r>
              <w:rPr>
                <w:rFonts w:hint="eastAsia" w:ascii="仿宋_GB2312" w:hAnsi="宋体" w:eastAsia="仿宋_GB2312" w:cs="仿宋_GB2312"/>
                <w:color w:val="000000"/>
                <w:kern w:val="0"/>
                <w:szCs w:val="21"/>
                <w:lang w:bidi="ar"/>
              </w:rPr>
              <w:t>配备自动化清</w:t>
            </w:r>
            <w:r>
              <w:rPr>
                <w:rFonts w:hint="eastAsia" w:ascii="仿宋_GB2312" w:hAnsi="宋体" w:eastAsia="仿宋_GB2312" w:cs="仿宋_GB2312"/>
                <w:color w:val="000000" w:themeColor="text1"/>
                <w:kern w:val="0"/>
                <w:szCs w:val="21"/>
                <w:lang w:bidi="ar"/>
                <w14:textFill>
                  <w14:solidFill>
                    <w14:schemeClr w14:val="tx1"/>
                  </w14:solidFill>
                </w14:textFill>
              </w:rPr>
              <w:t>洗消毒设备，对餐用具进行清洗消毒</w:t>
            </w:r>
            <w:r>
              <w:rPr>
                <w:rFonts w:hint="eastAsia" w:ascii="仿宋_GB2312" w:hAnsi="宋体" w:eastAsia="仿宋_GB2312" w:cs="仿宋_GB2312"/>
                <w:color w:val="000000" w:themeColor="text1"/>
                <w:kern w:val="0"/>
                <w14:textFill>
                  <w14:solidFill>
                    <w14:schemeClr w14:val="tx1"/>
                  </w14:solidFill>
                </w14:textFill>
              </w:rPr>
              <w:t>，</w:t>
            </w:r>
            <w:r>
              <w:rPr>
                <w:rFonts w:hint="eastAsia" w:ascii="仿宋_GB2312" w:hAnsi="宋体" w:eastAsia="仿宋_GB2312" w:cs="仿宋_GB2312"/>
                <w:color w:val="000000"/>
                <w:kern w:val="0"/>
              </w:rPr>
              <w:t>保证餐用具光洁涩干无异味</w:t>
            </w:r>
          </w:p>
        </w:tc>
        <w:tc>
          <w:tcPr>
            <w:tcW w:w="762"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2</w:t>
            </w:r>
            <w:r>
              <w:rPr>
                <w:rFonts w:ascii="仿宋_GB2312" w:hAnsi="宋体" w:eastAsia="仿宋_GB2312" w:cs="仿宋_GB2312"/>
                <w:color w:val="000000"/>
                <w:kern w:val="0"/>
              </w:rPr>
              <w:t>0</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hint="eastAsia" w:ascii="仿宋_GB2312" w:hAnsi="宋体" w:eastAsia="仿宋_GB2312" w:cs="仿宋_GB2312"/>
                <w:color w:val="000000"/>
                <w:kern w:val="0"/>
              </w:rPr>
              <w:t>　</w:t>
            </w:r>
          </w:p>
        </w:tc>
        <w:tc>
          <w:tcPr>
            <w:tcW w:w="992" w:type="dxa"/>
            <w:vAlign w:val="center"/>
          </w:tcPr>
          <w:p>
            <w:pPr>
              <w:widowControl/>
              <w:jc w:val="center"/>
              <w:rPr>
                <w:rFonts w:ascii="仿宋_GB2312" w:hAnsi="仿宋_GB2312" w:cs="宋体"/>
                <w:color w:val="000000"/>
                <w:kern w:val="0"/>
                <w:szCs w:val="21"/>
              </w:rPr>
            </w:pPr>
            <w:r>
              <w:rPr>
                <w:rFonts w:hint="eastAsia" w:ascii="仿宋_GB2312" w:hAnsi="宋体" w:eastAsia="仿宋_GB2312" w:cs="仿宋_GB2312"/>
                <w:color w:val="000000"/>
                <w:kern w:val="0"/>
              </w:rPr>
              <w:t>　</w:t>
            </w:r>
          </w:p>
        </w:tc>
        <w:tc>
          <w:tcPr>
            <w:tcW w:w="1203"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0" w:type="dxa"/>
            <w:vMerge w:val="continue"/>
            <w:vAlign w:val="center"/>
          </w:tcPr>
          <w:p>
            <w:pPr>
              <w:widowControl/>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如采用双消毒，应当设置物理消毒设备设施，采用物理消毒方式（因材质无法采用的除外）</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21</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ind w:firstLine="420" w:firstLineChars="200"/>
              <w:rPr>
                <w:rFonts w:ascii="仿宋_GB2312" w:hAnsi="宋体" w:eastAsia="仿宋_GB2312" w:cs="仿宋_GB2312"/>
                <w:color w:val="000000"/>
                <w:kern w:val="0"/>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0" w:type="dxa"/>
            <w:vMerge w:val="continue"/>
            <w:vAlign w:val="center"/>
          </w:tcPr>
          <w:p>
            <w:pPr>
              <w:widowControl/>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因材质等采用化学消毒的，至少设有</w:t>
            </w:r>
            <w:r>
              <w:rPr>
                <w:rFonts w:ascii="仿宋_GB2312" w:hAnsi="宋体" w:eastAsia="仿宋_GB2312" w:cs="仿宋_GB2312"/>
                <w:color w:val="000000"/>
                <w:kern w:val="0"/>
              </w:rPr>
              <w:t>3</w:t>
            </w:r>
            <w:r>
              <w:rPr>
                <w:rFonts w:hint="eastAsia" w:ascii="仿宋_GB2312" w:hAnsi="宋体" w:eastAsia="仿宋_GB2312" w:cs="仿宋_GB2312"/>
                <w:color w:val="000000"/>
                <w:kern w:val="0"/>
              </w:rPr>
              <w:t>个专用水池。各类水池以明显标识标明其用途</w:t>
            </w:r>
          </w:p>
        </w:tc>
        <w:tc>
          <w:tcPr>
            <w:tcW w:w="762"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22</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ind w:firstLine="420" w:firstLineChars="200"/>
              <w:rPr>
                <w:rFonts w:ascii="仿宋_GB2312" w:hAnsi="宋体" w:eastAsia="仿宋_GB2312" w:cs="仿宋_GB2312"/>
                <w:color w:val="000000"/>
                <w:kern w:val="0"/>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等线" w:eastAsia="仿宋_GB2312" w:cs="宋体"/>
                <w:color w:val="000000"/>
                <w:kern w:val="0"/>
              </w:rPr>
              <w:t>设专供存放消毒后餐用具的保洁间，</w:t>
            </w:r>
            <w:r>
              <w:rPr>
                <w:rFonts w:hint="eastAsia" w:ascii="仿宋_GB2312" w:hAnsi="宋体" w:eastAsia="仿宋_GB2312" w:cs="仿宋_GB2312"/>
                <w:color w:val="000000"/>
                <w:kern w:val="0"/>
              </w:rPr>
              <w:t>不得设置在餐用具清洗消毒间内。</w:t>
            </w:r>
            <w:r>
              <w:rPr>
                <w:rFonts w:hint="eastAsia" w:ascii="仿宋_GB2312" w:hAnsi="等线" w:eastAsia="仿宋_GB2312" w:cs="宋体"/>
                <w:color w:val="000000"/>
                <w:kern w:val="0"/>
              </w:rPr>
              <w:t>配备保洁设备设施，标记</w:t>
            </w:r>
            <w:r>
              <w:rPr>
                <w:rFonts w:hint="eastAsia" w:ascii="仿宋_GB2312" w:hAnsi="等线" w:eastAsia="仿宋_GB2312" w:cs="宋体"/>
                <w:color w:val="000000" w:themeColor="text1"/>
                <w:kern w:val="0"/>
                <w14:textFill>
                  <w14:solidFill>
                    <w14:schemeClr w14:val="tx1"/>
                  </w14:solidFill>
                </w14:textFill>
              </w:rPr>
              <w:t>明显</w:t>
            </w:r>
            <w:r>
              <w:rPr>
                <w:rFonts w:hint="eastAsia" w:ascii="仿宋_GB2312" w:hAnsi="宋体" w:eastAsia="仿宋_GB2312" w:cs="仿宋_GB2312"/>
                <w:color w:val="000000" w:themeColor="text1"/>
                <w:kern w:val="0"/>
                <w:szCs w:val="21"/>
                <w:lang w:bidi="ar"/>
                <w14:textFill>
                  <w14:solidFill>
                    <w14:schemeClr w14:val="tx1"/>
                  </w14:solidFill>
                </w14:textFill>
              </w:rPr>
              <w:t>。热力消毒设施设备可用于保洁</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23</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60" w:type="dxa"/>
            <w:vMerge w:val="restart"/>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6.地面与排水</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地面</w:t>
            </w:r>
            <w:r>
              <w:rPr>
                <w:rFonts w:hint="eastAsia" w:ascii="仿宋_GB2312" w:hAnsi="宋体" w:eastAsia="仿宋_GB2312" w:cs="仿宋_GB2312"/>
                <w:color w:val="000000"/>
                <w:kern w:val="0"/>
              </w:rPr>
              <w:t>的铺设材料应当</w:t>
            </w:r>
            <w:r>
              <w:rPr>
                <w:rFonts w:ascii="仿宋_GB2312" w:hAnsi="宋体" w:eastAsia="仿宋_GB2312" w:cs="仿宋_GB2312"/>
                <w:color w:val="000000"/>
                <w:kern w:val="0"/>
              </w:rPr>
              <w:t>无毒、无异味、不透水、耐腐蚀</w:t>
            </w:r>
            <w:r>
              <w:rPr>
                <w:rFonts w:hint="eastAsia" w:ascii="仿宋_GB2312" w:hAnsi="宋体" w:eastAsia="仿宋_GB2312" w:cs="仿宋_GB2312"/>
                <w:color w:val="000000"/>
                <w:kern w:val="0"/>
              </w:rPr>
              <w:t>。地面平坦防滑，易于清洗</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24</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themeColor="text1"/>
                <w:kern w:val="0"/>
                <w14:textFill>
                  <w14:solidFill>
                    <w14:schemeClr w14:val="tx1"/>
                  </w14:solidFill>
                </w14:textFill>
              </w:rPr>
            </w:pPr>
            <w:r>
              <w:rPr>
                <w:rFonts w:hint="eastAsia" w:ascii="仿宋_GB2312" w:hAnsi="宋体" w:eastAsia="仿宋_GB2312"/>
                <w:color w:val="000000"/>
                <w:kern w:val="0"/>
                <w:lang w:val="zh-CN"/>
              </w:rPr>
              <w:t>地面有排水系统。排水沟篦子应完整，篦子缝应小于10mm且无破损</w:t>
            </w:r>
          </w:p>
        </w:tc>
        <w:tc>
          <w:tcPr>
            <w:tcW w:w="762"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25</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hint="eastAsia" w:ascii="仿宋_GB2312" w:hAnsi="宋体" w:eastAsia="仿宋_GB2312"/>
                <w:color w:val="000000"/>
                <w:kern w:val="0"/>
                <w:lang w:val="zh-CN"/>
              </w:rPr>
            </w:pPr>
            <w:r>
              <w:rPr>
                <w:rFonts w:hint="eastAsia" w:ascii="仿宋_GB2312" w:hAnsi="宋体" w:eastAsia="仿宋_GB2312"/>
                <w:color w:val="000000"/>
                <w:kern w:val="0"/>
                <w:lang w:val="zh-CN"/>
              </w:rPr>
              <w:t>排水管道与外界相通的出口应有适当措施（缝隙小于</w:t>
            </w:r>
            <w:r>
              <w:rPr>
                <w:rFonts w:hint="eastAsia" w:ascii="仿宋_GB2312" w:hAnsi="宋体" w:eastAsia="仿宋_GB2312"/>
                <w:color w:val="000000"/>
                <w:kern w:val="0"/>
              </w:rPr>
              <w:t>10</w:t>
            </w:r>
            <w:r>
              <w:rPr>
                <w:rFonts w:hint="eastAsia" w:ascii="仿宋_GB2312" w:hAnsi="宋体" w:eastAsia="仿宋_GB2312"/>
                <w:color w:val="000000"/>
                <w:kern w:val="0"/>
                <w:lang w:val="zh-CN"/>
              </w:rPr>
              <w:t>mm的篦子），以防有害生物侵入</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26</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eastAsia="宋体" w:cs="宋体"/>
                <w:color w:val="000000"/>
                <w:kern w:val="0"/>
                <w:sz w:val="21"/>
                <w:szCs w:val="21"/>
                <w:lang w:val="en-US" w:eastAsia="zh-CN" w:bidi="ar-SA"/>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eastAsia="宋体" w:cs="宋体"/>
                <w:color w:val="000000"/>
                <w:kern w:val="0"/>
                <w:sz w:val="21"/>
                <w:szCs w:val="21"/>
                <w:lang w:val="en-US" w:eastAsia="zh-CN" w:bidi="ar-SA"/>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eastAsia="宋体" w:cs="宋体"/>
                <w:color w:val="000000"/>
                <w:kern w:val="0"/>
                <w:sz w:val="21"/>
                <w:szCs w:val="21"/>
                <w:lang w:val="en-US" w:eastAsia="zh-CN" w:bidi="ar-SA"/>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0" w:type="dxa"/>
            <w:vMerge w:val="restart"/>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7.墙壁</w:t>
            </w:r>
            <w:r>
              <w:rPr>
                <w:rFonts w:hint="eastAsia" w:ascii="仿宋_GB2312" w:hAnsi="宋体" w:eastAsia="仿宋_GB2312" w:cs="仿宋_GB2312"/>
                <w:color w:val="000000"/>
                <w:kern w:val="0"/>
              </w:rPr>
              <w:t>与</w:t>
            </w:r>
            <w:r>
              <w:rPr>
                <w:rFonts w:ascii="仿宋_GB2312" w:hAnsi="宋体" w:eastAsia="仿宋_GB2312" w:cs="仿宋_GB2312"/>
                <w:color w:val="000000"/>
                <w:kern w:val="0"/>
              </w:rPr>
              <w:t>门窗</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墙壁采用的涂覆或铺设材料应无毒、无异味、不透水、防霉、不易脱落、易清洁</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2</w:t>
            </w:r>
            <w:r>
              <w:rPr>
                <w:rFonts w:ascii="仿宋_GB2312" w:hAnsi="宋体" w:eastAsia="仿宋_GB2312" w:cs="仿宋_GB2312"/>
                <w:color w:val="000000"/>
                <w:kern w:val="0"/>
              </w:rPr>
              <w:t>7</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60" w:type="dxa"/>
            <w:vMerge w:val="continue"/>
            <w:vAlign w:val="center"/>
          </w:tcPr>
          <w:p>
            <w:pPr>
              <w:widowControl/>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需经常冲洗的场所在操作高度范围内的墙面还应光滑、防水、不易积垢且易于清洗</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28</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门、窗应闭合严密，采用不透水、坚固、不变形的材料制成，结构上应易于维护、清洁</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29</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lang w:val="zh-CN"/>
              </w:rPr>
            </w:pPr>
            <w:r>
              <w:rPr>
                <w:rFonts w:hint="eastAsia" w:ascii="仿宋_GB2312" w:hAnsi="宋体" w:eastAsia="仿宋_GB2312" w:cs="仿宋_GB2312"/>
                <w:color w:val="000000"/>
                <w:kern w:val="0"/>
                <w:lang w:val="zh-CN"/>
              </w:rPr>
              <w:t>需经常冲洗场所的门，表面还应光滑，不易积垢</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3</w:t>
            </w:r>
            <w:r>
              <w:rPr>
                <w:rFonts w:ascii="仿宋_GB2312" w:hAnsi="宋体" w:eastAsia="仿宋_GB2312" w:cs="仿宋_GB2312"/>
                <w:color w:val="000000"/>
                <w:kern w:val="0"/>
              </w:rPr>
              <w:t>0</w:t>
            </w:r>
          </w:p>
        </w:tc>
        <w:tc>
          <w:tcPr>
            <w:tcW w:w="993"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与外界直接相通的通风口、换气窗外部，应加装不小于16目的防虫筛网</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31</w:t>
            </w:r>
          </w:p>
        </w:tc>
        <w:tc>
          <w:tcPr>
            <w:tcW w:w="993"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restart"/>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8.天花板</w:t>
            </w: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餐饮服务场所</w:t>
            </w:r>
            <w:r>
              <w:rPr>
                <w:rFonts w:ascii="仿宋_GB2312" w:hAnsi="宋体" w:eastAsia="仿宋_GB2312" w:cs="仿宋_GB2312"/>
                <w:color w:val="000000"/>
                <w:kern w:val="0"/>
              </w:rPr>
              <w:t>天花板</w:t>
            </w:r>
            <w:r>
              <w:rPr>
                <w:rFonts w:hint="eastAsia" w:ascii="仿宋_GB2312" w:hAnsi="宋体" w:eastAsia="仿宋_GB2312" w:cs="仿宋_GB2312"/>
                <w:color w:val="000000"/>
                <w:kern w:val="0"/>
              </w:rPr>
              <w:t>的涂覆或装修材料应</w:t>
            </w:r>
            <w:r>
              <w:rPr>
                <w:rFonts w:ascii="仿宋_GB2312" w:hAnsi="宋体" w:eastAsia="仿宋_GB2312" w:cs="仿宋_GB2312"/>
                <w:color w:val="000000"/>
                <w:kern w:val="0"/>
              </w:rPr>
              <w:t>无毒、无异味、</w:t>
            </w:r>
            <w:r>
              <w:rPr>
                <w:rFonts w:hint="eastAsia" w:ascii="仿宋_GB2312" w:hAnsi="宋体" w:eastAsia="仿宋_GB2312" w:cs="仿宋_GB2312"/>
                <w:color w:val="000000"/>
                <w:kern w:val="0"/>
              </w:rPr>
              <w:t>防霉、不易脱落、易于清洁</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3</w:t>
            </w:r>
            <w:r>
              <w:rPr>
                <w:rFonts w:ascii="仿宋_GB2312" w:hAnsi="宋体" w:eastAsia="仿宋_GB2312" w:cs="仿宋_GB2312"/>
                <w:color w:val="000000"/>
                <w:kern w:val="0"/>
              </w:rPr>
              <w:t>2</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lang w:val="zh-CN"/>
              </w:rPr>
            </w:pPr>
            <w:r>
              <w:rPr>
                <w:rFonts w:hint="eastAsia" w:ascii="仿宋_GB2312" w:hAnsi="宋体" w:eastAsia="仿宋_GB2312" w:cs="仿宋_GB2312"/>
                <w:color w:val="000000"/>
                <w:kern w:val="0"/>
                <w:lang w:val="zh-CN"/>
              </w:rPr>
              <w:t>食品烹饪、食品冷却、餐用具清洗消毒等区域天花板涂覆或装修的材料应不吸水、耐高温、耐腐蚀</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33</w:t>
            </w:r>
          </w:p>
        </w:tc>
        <w:tc>
          <w:tcPr>
            <w:tcW w:w="993" w:type="dxa"/>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食品</w:t>
            </w:r>
            <w:r>
              <w:rPr>
                <w:rFonts w:ascii="仿宋_GB2312" w:hAnsi="宋体" w:eastAsia="仿宋_GB2312" w:cs="仿宋_GB2312"/>
                <w:color w:val="000000"/>
                <w:kern w:val="0"/>
              </w:rPr>
              <w:t>处理区</w:t>
            </w:r>
            <w:r>
              <w:rPr>
                <w:rFonts w:hint="eastAsia" w:ascii="仿宋_GB2312" w:hAnsi="宋体" w:eastAsia="仿宋_GB2312" w:cs="仿宋_GB2312"/>
                <w:color w:val="000000"/>
                <w:kern w:val="0"/>
              </w:rPr>
              <w:t>食品</w:t>
            </w:r>
            <w:r>
              <w:rPr>
                <w:rFonts w:ascii="仿宋_GB2312" w:hAnsi="宋体" w:eastAsia="仿宋_GB2312" w:cs="仿宋_GB2312"/>
                <w:color w:val="000000"/>
                <w:kern w:val="0"/>
              </w:rPr>
              <w:t>半成品、成品和清洁餐用具暴露区域上方的天花板应能避免灰尘散落,防止有害生物孳生和霉菌繁殖</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34</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hint="eastAsia" w:ascii="仿宋_GB2312" w:hAnsi="宋体" w:eastAsia="仿宋_GB2312" w:cs="仿宋_GB2312"/>
                <w:color w:val="000000"/>
                <w:kern w:val="0"/>
              </w:rPr>
            </w:pPr>
            <w:r>
              <w:rPr>
                <w:rFonts w:hint="eastAsia" w:ascii="仿宋_GB2312" w:hAnsi="宋体" w:eastAsia="仿宋_GB2312" w:cs="仿宋_GB2312"/>
                <w:color w:val="000000"/>
                <w:kern w:val="0"/>
                <w:lang w:val="zh-CN"/>
              </w:rPr>
              <w:t>就餐区食品</w:t>
            </w:r>
            <w:r>
              <w:rPr>
                <w:rFonts w:hint="eastAsia" w:ascii="仿宋_GB2312" w:hAnsi="宋体" w:eastAsia="仿宋_GB2312" w:cs="仿宋_GB2312"/>
                <w:color w:val="000000"/>
                <w:kern w:val="0"/>
              </w:rPr>
              <w:t>半成品、成品和清洁餐用具暴露区域上方的天花板应能避免灰尘散落</w:t>
            </w:r>
            <w:r>
              <w:rPr>
                <w:rFonts w:ascii="仿宋_GB2312" w:hAnsi="宋体" w:eastAsia="仿宋_GB2312" w:cs="仿宋_GB2312"/>
                <w:color w:val="000000"/>
                <w:kern w:val="0"/>
              </w:rPr>
              <w:t>,防止有害生物</w:t>
            </w:r>
            <w:r>
              <w:rPr>
                <w:rFonts w:hint="eastAsia" w:ascii="仿宋_GB2312" w:hAnsi="宋体" w:eastAsia="仿宋_GB2312" w:cs="仿宋_GB2312"/>
                <w:color w:val="000000"/>
                <w:kern w:val="0"/>
              </w:rPr>
              <w:t>孳生和霉菌繁殖</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35</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eastAsia="宋体" w:cs="宋体"/>
                <w:color w:val="000000"/>
                <w:kern w:val="0"/>
                <w:sz w:val="21"/>
                <w:szCs w:val="21"/>
                <w:lang w:val="en-US" w:eastAsia="zh-CN" w:bidi="ar-SA"/>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eastAsia="宋体" w:cs="宋体"/>
                <w:color w:val="000000"/>
                <w:kern w:val="0"/>
                <w:sz w:val="21"/>
                <w:szCs w:val="21"/>
                <w:lang w:val="en-US" w:eastAsia="zh-CN" w:bidi="ar-SA"/>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eastAsia="宋体" w:cs="宋体"/>
                <w:color w:val="000000"/>
                <w:kern w:val="0"/>
                <w:sz w:val="21"/>
                <w:szCs w:val="21"/>
                <w:lang w:val="en-US" w:eastAsia="zh-CN" w:bidi="ar-SA"/>
              </w:rPr>
            </w:pPr>
            <w:r>
              <w:rPr>
                <w:rFonts w:ascii="仿宋_GB2312" w:hAnsi="仿宋_GB2312"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水蒸汽较多的场所的天花板有适当的坡度，在结构上减少凝结水滴落</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36</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0" w:type="dxa"/>
            <w:vMerge w:val="restart"/>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9.洗手消毒设施</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食品处理区内设置足够数量的洗手设施，其位置设置在方便员工的区域</w:t>
            </w:r>
            <w:r>
              <w:rPr>
                <w:rFonts w:hint="eastAsia" w:ascii="仿宋_GB2312" w:hAnsi="宋体" w:eastAsia="仿宋_GB2312" w:cs="仿宋_GB2312"/>
                <w:color w:val="000000"/>
                <w:kern w:val="0"/>
              </w:rPr>
              <w:t>。</w:t>
            </w:r>
            <w:r>
              <w:rPr>
                <w:rFonts w:hint="eastAsia" w:ascii="仿宋_GB2312" w:hAnsi="宋体" w:eastAsia="仿宋_GB2312" w:cs="仿宋_GB2312"/>
                <w:color w:val="000000"/>
                <w:kern w:val="0"/>
                <w:lang w:val="zh-CN"/>
              </w:rPr>
              <w:t>洗手设施应采用不透水、不易积垢、易于清洁的材料制成</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3</w:t>
            </w:r>
            <w:r>
              <w:rPr>
                <w:rFonts w:ascii="仿宋_GB2312" w:hAnsi="宋体" w:eastAsia="仿宋_GB2312" w:cs="仿宋_GB2312"/>
                <w:color w:val="000000"/>
                <w:kern w:val="0"/>
              </w:rPr>
              <w:t>7</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洗手设施附近有相应的</w:t>
            </w:r>
            <w:r>
              <w:rPr>
                <w:rFonts w:hint="eastAsia" w:ascii="仿宋_GB2312" w:hAnsi="宋体" w:eastAsia="仿宋_GB2312" w:cs="仿宋_GB2312"/>
                <w:color w:val="000000"/>
                <w:kern w:val="0"/>
              </w:rPr>
              <w:t>洗手</w:t>
            </w:r>
            <w:r>
              <w:rPr>
                <w:rFonts w:ascii="仿宋_GB2312" w:hAnsi="宋体" w:eastAsia="仿宋_GB2312" w:cs="仿宋_GB2312"/>
                <w:color w:val="000000"/>
                <w:kern w:val="0"/>
              </w:rPr>
              <w:t>用品和干手设施</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38</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员工专用洗手消毒设施附近应当有洗手消毒方法标识</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39</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0" w:type="dxa"/>
            <w:vMerge w:val="restart"/>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10.采光照明设施</w:t>
            </w: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食品处理区有充足的自然采光或人工照明，光泽和亮度应满足食品加工需要，不应改变食品的感官色泽</w:t>
            </w:r>
          </w:p>
        </w:tc>
        <w:tc>
          <w:tcPr>
            <w:tcW w:w="762" w:type="dxa"/>
            <w:vAlign w:val="center"/>
          </w:tcPr>
          <w:p>
            <w:pPr>
              <w:widowControl/>
              <w:jc w:val="center"/>
              <w:rPr>
                <w:rFonts w:ascii="仿宋_GB2312" w:hAnsi="仿宋_GB2312" w:eastAsia="宋体" w:cs="宋体"/>
                <w:b/>
                <w:bCs/>
                <w:color w:val="000000"/>
                <w:kern w:val="0"/>
                <w:sz w:val="22"/>
                <w:szCs w:val="22"/>
                <w:lang w:val="en-US" w:eastAsia="zh-CN" w:bidi="ar-SA"/>
              </w:rPr>
            </w:pPr>
            <w:r>
              <w:rPr>
                <w:rFonts w:hint="eastAsia" w:ascii="仿宋_GB2312" w:hAnsi="宋体" w:eastAsia="仿宋_GB2312" w:cs="仿宋_GB2312"/>
                <w:color w:val="000000"/>
                <w:kern w:val="0"/>
              </w:rPr>
              <w:t>4</w:t>
            </w:r>
            <w:r>
              <w:rPr>
                <w:rFonts w:ascii="仿宋_GB2312" w:hAnsi="宋体" w:eastAsia="仿宋_GB2312" w:cs="仿宋_GB2312"/>
                <w:color w:val="000000"/>
                <w:kern w:val="0"/>
              </w:rPr>
              <w:t>0</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安装在裸露食品正上方的照明设施使用安全型照明设施或安装防护罩</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41</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Merge w:val="continue"/>
            <w:vAlign w:val="center"/>
          </w:tcPr>
          <w:p>
            <w:pPr>
              <w:widowControl/>
              <w:jc w:val="center"/>
              <w:rPr>
                <w:rFonts w:ascii="仿宋_GB2312" w:hAnsi="仿宋_GB2312" w:cs="宋体"/>
                <w:b/>
                <w:bCs/>
                <w:color w:val="000000"/>
                <w:kern w:val="0"/>
                <w:sz w:val="22"/>
                <w:szCs w:val="22"/>
              </w:rPr>
            </w:pPr>
          </w:p>
        </w:tc>
        <w:tc>
          <w:tcPr>
            <w:tcW w:w="6380" w:type="dxa"/>
            <w:vAlign w:val="center"/>
          </w:tcPr>
          <w:p>
            <w:pPr>
              <w:widowControl/>
              <w:rPr>
                <w:rFonts w:ascii="仿宋_GB2312" w:hAnsi="仿宋_GB2312" w:cs="宋体"/>
                <w:b/>
                <w:bCs/>
                <w:color w:val="000000"/>
                <w:kern w:val="0"/>
                <w:sz w:val="22"/>
                <w:szCs w:val="22"/>
              </w:rPr>
            </w:pPr>
            <w:r>
              <w:rPr>
                <w:rFonts w:hint="eastAsia" w:ascii="仿宋_GB2312" w:hAnsi="宋体" w:eastAsia="仿宋_GB2312" w:cs="仿宋_GB2312"/>
                <w:color w:val="000000"/>
                <w:kern w:val="0"/>
              </w:rPr>
              <w:t>冷冻（藏）库房使用防爆灯</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42</w:t>
            </w:r>
          </w:p>
        </w:tc>
        <w:tc>
          <w:tcPr>
            <w:tcW w:w="993" w:type="dxa"/>
            <w:vAlign w:val="center"/>
          </w:tcPr>
          <w:p>
            <w:pPr>
              <w:widowControl/>
              <w:jc w:val="center"/>
              <w:rPr>
                <w:rFonts w:ascii="仿宋_GB2312" w:hAnsi="仿宋_GB2312" w:cs="宋体"/>
                <w:b/>
                <w:bCs/>
                <w:color w:val="000000"/>
                <w:kern w:val="0"/>
                <w:sz w:val="22"/>
                <w:szCs w:val="22"/>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60" w:type="dxa"/>
            <w:vMerge w:val="restart"/>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11.废弃物暂存设施</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食品处理区设废弃物</w:t>
            </w:r>
            <w:r>
              <w:rPr>
                <w:rFonts w:hint="eastAsia" w:ascii="仿宋_GB2312" w:hAnsi="宋体" w:eastAsia="仿宋_GB2312" w:cs="仿宋_GB2312"/>
                <w:color w:val="000000"/>
                <w:kern w:val="0"/>
              </w:rPr>
              <w:t>存放设施</w:t>
            </w:r>
            <w:r>
              <w:rPr>
                <w:rFonts w:ascii="仿宋_GB2312" w:hAnsi="宋体" w:eastAsia="仿宋_GB2312" w:cs="仿宋_GB2312"/>
                <w:color w:val="000000"/>
                <w:kern w:val="0"/>
              </w:rPr>
              <w:t>。废弃物</w:t>
            </w:r>
            <w:r>
              <w:rPr>
                <w:rFonts w:hint="eastAsia" w:ascii="仿宋_GB2312" w:hAnsi="宋体" w:eastAsia="仿宋_GB2312" w:cs="仿宋_GB2312"/>
                <w:color w:val="000000"/>
                <w:kern w:val="0"/>
              </w:rPr>
              <w:t>存放设施</w:t>
            </w:r>
            <w:r>
              <w:rPr>
                <w:rFonts w:ascii="仿宋_GB2312" w:hAnsi="宋体" w:eastAsia="仿宋_GB2312" w:cs="仿宋_GB2312"/>
                <w:color w:val="000000"/>
                <w:kern w:val="0"/>
              </w:rPr>
              <w:t>与</w:t>
            </w:r>
            <w:r>
              <w:rPr>
                <w:rFonts w:hint="eastAsia" w:ascii="仿宋_GB2312" w:hAnsi="宋体" w:eastAsia="仿宋_GB2312" w:cs="仿宋_GB2312"/>
                <w:color w:val="000000"/>
                <w:kern w:val="0"/>
              </w:rPr>
              <w:t>食品</w:t>
            </w:r>
            <w:r>
              <w:rPr>
                <w:rFonts w:ascii="仿宋_GB2312" w:hAnsi="宋体" w:eastAsia="仿宋_GB2312" w:cs="仿宋_GB2312"/>
                <w:color w:val="000000"/>
                <w:kern w:val="0"/>
              </w:rPr>
              <w:t>加工</w:t>
            </w:r>
            <w:r>
              <w:rPr>
                <w:rFonts w:hint="eastAsia" w:ascii="仿宋_GB2312" w:hAnsi="宋体" w:eastAsia="仿宋_GB2312" w:cs="仿宋_GB2312"/>
                <w:color w:val="000000"/>
                <w:kern w:val="0"/>
              </w:rPr>
              <w:t>制作</w:t>
            </w:r>
            <w:r>
              <w:rPr>
                <w:rFonts w:ascii="仿宋_GB2312" w:hAnsi="宋体" w:eastAsia="仿宋_GB2312" w:cs="仿宋_GB2312"/>
                <w:color w:val="000000"/>
                <w:kern w:val="0"/>
              </w:rPr>
              <w:t>容器有明显</w:t>
            </w:r>
            <w:r>
              <w:rPr>
                <w:rFonts w:hint="eastAsia" w:ascii="仿宋_GB2312" w:hAnsi="宋体" w:eastAsia="仿宋_GB2312" w:cs="仿宋_GB2312"/>
                <w:color w:val="000000"/>
                <w:kern w:val="0"/>
              </w:rPr>
              <w:t>的</w:t>
            </w:r>
            <w:r>
              <w:rPr>
                <w:rFonts w:ascii="仿宋_GB2312" w:hAnsi="宋体" w:eastAsia="仿宋_GB2312" w:cs="仿宋_GB2312"/>
                <w:color w:val="000000"/>
                <w:kern w:val="0"/>
              </w:rPr>
              <w:t>区分标识</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43</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废弃物</w:t>
            </w:r>
            <w:r>
              <w:rPr>
                <w:rFonts w:hint="eastAsia" w:ascii="仿宋_GB2312" w:hAnsi="宋体" w:eastAsia="仿宋_GB2312" w:cs="仿宋_GB2312"/>
                <w:color w:val="000000"/>
                <w:kern w:val="0"/>
              </w:rPr>
              <w:t>存放设施应有</w:t>
            </w:r>
            <w:r>
              <w:rPr>
                <w:rFonts w:ascii="仿宋_GB2312" w:hAnsi="宋体" w:eastAsia="仿宋_GB2312" w:cs="仿宋_GB2312"/>
                <w:color w:val="000000"/>
                <w:kern w:val="0"/>
              </w:rPr>
              <w:t>盖，</w:t>
            </w:r>
            <w:r>
              <w:rPr>
                <w:rFonts w:hint="eastAsia" w:ascii="仿宋_GB2312" w:hAnsi="宋体" w:eastAsia="仿宋_GB2312" w:cs="仿宋_GB2312"/>
                <w:color w:val="000000"/>
                <w:kern w:val="0"/>
              </w:rPr>
              <w:t>能够防止污水渗漏、不良气味溢出和蚊虫滋生，并易于清洁</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44</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r>
              <w:rPr>
                <w:rFonts w:hint="eastAsia"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restart"/>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12.库房和食品贮存场所</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食品库房不得存放非食品物质（不会导致食品污染的食品容器、包装材料、工具等物品除外）</w:t>
            </w:r>
            <w:r>
              <w:rPr>
                <w:rFonts w:hint="eastAsia" w:ascii="仿宋_GB2312" w:hAnsi="宋体" w:eastAsia="仿宋_GB2312" w:cs="仿宋_GB2312"/>
                <w:color w:val="000000"/>
                <w:kern w:val="0"/>
              </w:rPr>
              <w:t>，同一库房内贮存原料、半成品、成品、包装材料的，应分设存放区域并显著标示，分离或分隔存放，防止交叉污染，并满足温湿度需求</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45</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库房内应设置足够数量的存放架，其结构及位置能够做到隔墙离地，以利</w:t>
            </w:r>
            <w:r>
              <w:rPr>
                <w:rFonts w:hint="eastAsia" w:ascii="仿宋_GB2312" w:hAnsi="宋体" w:eastAsia="仿宋_GB2312" w:cs="仿宋_GB2312"/>
                <w:color w:val="000000"/>
                <w:kern w:val="0"/>
              </w:rPr>
              <w:t>于</w:t>
            </w:r>
            <w:r>
              <w:rPr>
                <w:rFonts w:ascii="仿宋_GB2312" w:hAnsi="宋体" w:eastAsia="仿宋_GB2312" w:cs="仿宋_GB2312"/>
                <w:color w:val="000000"/>
                <w:kern w:val="0"/>
              </w:rPr>
              <w:t>空气流通及物品搬运</w:t>
            </w:r>
            <w:r>
              <w:rPr>
                <w:rFonts w:hint="eastAsia" w:ascii="仿宋_GB2312" w:hAnsi="宋体" w:eastAsia="仿宋_GB2312" w:cs="仿宋_GB2312"/>
                <w:color w:val="000000"/>
                <w:kern w:val="0"/>
              </w:rPr>
              <w:t>，避免虫害藏匿</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46</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snapToGrid w:val="0"/>
              <w:rPr>
                <w:rFonts w:ascii="仿宋_GB2312" w:hAnsi="宋体" w:cs="仿宋_GB2312" w:eastAsiaTheme="minorEastAsia"/>
                <w:color w:val="000000"/>
                <w:kern w:val="0"/>
              </w:rPr>
            </w:pPr>
            <w:r>
              <w:rPr>
                <w:rFonts w:hint="eastAsia" w:ascii="仿宋_GB2312" w:hAnsi="宋体" w:eastAsia="仿宋_GB2312" w:cs="仿宋_GB2312"/>
                <w:color w:val="000000"/>
                <w:kern w:val="0"/>
              </w:rPr>
              <w:t>使用食品添加剂的应设专柜（位）贮存，标注“食品添加剂”字样，并与食品、食品相关产品等分开存放</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47</w:t>
            </w:r>
          </w:p>
        </w:tc>
        <w:tc>
          <w:tcPr>
            <w:tcW w:w="993" w:type="dxa"/>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冷藏、冷冻柜（库）数量和结构能使原料、半成品和成品分开存放，有明显区分标识</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48</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除</w:t>
            </w:r>
            <w:r>
              <w:rPr>
                <w:rFonts w:hint="eastAsia" w:ascii="仿宋_GB2312" w:hAnsi="宋体" w:eastAsia="仿宋_GB2312" w:cs="仿宋_GB2312"/>
                <w:color w:val="000000"/>
                <w:kern w:val="0"/>
              </w:rPr>
              <w:t>冷藏、</w:t>
            </w:r>
            <w:r>
              <w:rPr>
                <w:rFonts w:ascii="仿宋_GB2312" w:hAnsi="宋体" w:eastAsia="仿宋_GB2312" w:cs="仿宋_GB2312"/>
                <w:color w:val="000000"/>
                <w:kern w:val="0"/>
              </w:rPr>
              <w:t>冷</w:t>
            </w:r>
            <w:r>
              <w:rPr>
                <w:rFonts w:hint="eastAsia" w:ascii="仿宋_GB2312" w:hAnsi="宋体" w:eastAsia="仿宋_GB2312" w:cs="仿宋_GB2312"/>
                <w:color w:val="000000"/>
                <w:kern w:val="0"/>
              </w:rPr>
              <w:t>冻</w:t>
            </w:r>
            <w:r>
              <w:rPr>
                <w:rFonts w:ascii="仿宋_GB2312" w:hAnsi="宋体" w:eastAsia="仿宋_GB2312" w:cs="仿宋_GB2312"/>
                <w:color w:val="000000"/>
                <w:kern w:val="0"/>
              </w:rPr>
              <w:t>库外的库房有良好的通风、防潮、防鼠（如设防鼠板或木质门下方以金属包覆）设施</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仿宋_GB2312" w:cs="宋体"/>
                <w:color w:val="000000"/>
                <w:kern w:val="0"/>
                <w:szCs w:val="21"/>
              </w:rPr>
              <w:t>49</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冷藏、冷冻柜（库）应设有可正确显示内部温度的测温装置</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50</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13.更衣区</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更衣场所与加工经营场所处于同一建筑物内，</w:t>
            </w:r>
            <w:r>
              <w:rPr>
                <w:rFonts w:hint="eastAsia" w:ascii="仿宋_GB2312" w:hAnsi="宋体" w:eastAsia="仿宋_GB2312" w:cs="仿宋_GB2312"/>
                <w:color w:val="000000"/>
                <w:kern w:val="0"/>
              </w:rPr>
              <w:t>更衣设施的数量应满足需要</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51</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60" w:type="dxa"/>
            <w:vMerge w:val="restart"/>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14.其他要求</w:t>
            </w: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食品制售过程中的</w:t>
            </w:r>
            <w:r>
              <w:rPr>
                <w:rFonts w:ascii="仿宋_GB2312" w:hAnsi="宋体" w:eastAsia="仿宋_GB2312" w:cs="仿宋_GB2312"/>
                <w:color w:val="000000"/>
                <w:kern w:val="0"/>
              </w:rPr>
              <w:t>关键部位和重</w:t>
            </w:r>
            <w:r>
              <w:rPr>
                <w:rFonts w:hint="eastAsia" w:ascii="仿宋_GB2312" w:hAnsi="宋体" w:eastAsia="仿宋_GB2312" w:cs="仿宋_GB2312"/>
                <w:color w:val="000000"/>
                <w:kern w:val="0"/>
              </w:rPr>
              <w:t>要</w:t>
            </w:r>
            <w:r>
              <w:rPr>
                <w:rFonts w:ascii="仿宋_GB2312" w:hAnsi="宋体" w:eastAsia="仿宋_GB2312" w:cs="仿宋_GB2312"/>
                <w:color w:val="000000"/>
                <w:kern w:val="0"/>
              </w:rPr>
              <w:t>环节</w:t>
            </w:r>
            <w:r>
              <w:rPr>
                <w:rFonts w:hint="eastAsia" w:ascii="仿宋_GB2312" w:hAnsi="宋体" w:eastAsia="仿宋_GB2312" w:cs="仿宋_GB2312"/>
                <w:color w:val="000000"/>
                <w:kern w:val="0"/>
              </w:rPr>
              <w:t>应</w:t>
            </w:r>
            <w:r>
              <w:rPr>
                <w:rFonts w:ascii="仿宋_GB2312" w:hAnsi="宋体" w:eastAsia="仿宋_GB2312" w:cs="仿宋_GB2312"/>
                <w:color w:val="000000"/>
                <w:kern w:val="0"/>
              </w:rPr>
              <w:t>通过明厨亮灶方式进行展示。每个档口、专间、</w:t>
            </w:r>
            <w:r>
              <w:rPr>
                <w:rFonts w:hint="eastAsia" w:ascii="仿宋_GB2312" w:hAnsi="宋体" w:eastAsia="仿宋_GB2312" w:cs="仿宋_GB2312"/>
                <w:color w:val="000000"/>
                <w:kern w:val="0"/>
              </w:rPr>
              <w:t>餐（饮）具</w:t>
            </w:r>
            <w:r>
              <w:rPr>
                <w:rFonts w:ascii="仿宋_GB2312" w:hAnsi="宋体" w:eastAsia="仿宋_GB2312" w:cs="仿宋_GB2312"/>
                <w:color w:val="000000"/>
                <w:kern w:val="0"/>
              </w:rPr>
              <w:t>清洗消毒间</w:t>
            </w:r>
            <w:r>
              <w:rPr>
                <w:rFonts w:hint="eastAsia" w:ascii="仿宋_GB2312" w:hAnsi="宋体" w:eastAsia="仿宋_GB2312" w:cs="仿宋_GB2312"/>
                <w:color w:val="000000"/>
                <w:kern w:val="0"/>
              </w:rPr>
              <w:t>、</w:t>
            </w:r>
            <w:r>
              <w:rPr>
                <w:rFonts w:ascii="仿宋_GB2312" w:hAnsi="宋体" w:eastAsia="仿宋_GB2312" w:cs="仿宋_GB2312"/>
                <w:color w:val="000000"/>
                <w:kern w:val="0"/>
              </w:rPr>
              <w:t>初加工间等部位</w:t>
            </w:r>
            <w:r>
              <w:rPr>
                <w:rFonts w:hint="eastAsia" w:ascii="仿宋_GB2312" w:hAnsi="宋体" w:eastAsia="仿宋_GB2312" w:cs="仿宋_GB2312"/>
                <w:color w:val="000000"/>
                <w:kern w:val="0"/>
              </w:rPr>
              <w:t>应</w:t>
            </w:r>
            <w:r>
              <w:rPr>
                <w:rFonts w:ascii="仿宋_GB2312" w:hAnsi="宋体" w:eastAsia="仿宋_GB2312" w:cs="仿宋_GB2312"/>
                <w:color w:val="000000"/>
                <w:kern w:val="0"/>
              </w:rPr>
              <w:t>安装摄像头。有堂食的，在店堂展示；没有堂食的，在取餐间展示；上线经营的，要在网络平台公开展示</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52</w:t>
            </w:r>
          </w:p>
        </w:tc>
        <w:tc>
          <w:tcPr>
            <w:tcW w:w="993" w:type="dxa"/>
            <w:vAlign w:val="center"/>
          </w:tcPr>
          <w:p>
            <w:pPr>
              <w:widowControl/>
              <w:jc w:val="center"/>
              <w:rPr>
                <w:rFonts w:ascii="仿宋_GB2312" w:hAnsi="宋体" w:eastAsia="仿宋_GB2312" w:cs="仿宋_GB2312"/>
                <w:color w:val="000000"/>
                <w:kern w:val="0"/>
              </w:rPr>
            </w:pPr>
            <w:r>
              <w:rPr>
                <w:rFonts w:ascii="仿宋_GB2312" w:hAnsi="仿宋_GB2312" w:cs="宋体"/>
                <w:color w:val="000000"/>
                <w:kern w:val="0"/>
                <w:szCs w:val="21"/>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60" w:type="dxa"/>
            <w:vMerge w:val="continue"/>
            <w:vAlign w:val="center"/>
          </w:tcPr>
          <w:p>
            <w:pPr>
              <w:widowControl/>
              <w:jc w:val="left"/>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非食品处理区设置卫生间的，其出口</w:t>
            </w:r>
            <w:r>
              <w:rPr>
                <w:rFonts w:hint="eastAsia" w:ascii="仿宋_GB2312" w:hAnsi="宋体" w:eastAsia="仿宋_GB2312" w:cs="仿宋_GB2312"/>
                <w:color w:val="000000"/>
                <w:kern w:val="0"/>
              </w:rPr>
              <w:t>不应与食品处理区直接连通，</w:t>
            </w:r>
            <w:r>
              <w:rPr>
                <w:rFonts w:ascii="仿宋_GB2312" w:hAnsi="宋体" w:eastAsia="仿宋_GB2312" w:cs="仿宋_GB2312"/>
                <w:color w:val="000000"/>
                <w:kern w:val="0"/>
              </w:rPr>
              <w:t>附近应当设置洗手、消毒、烘干设施</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ascii="仿宋_GB2312" w:hAnsi="宋体" w:eastAsia="仿宋_GB2312" w:cs="仿宋_GB2312"/>
                <w:color w:val="000000"/>
                <w:kern w:val="0"/>
              </w:rPr>
              <w:t>53</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60" w:type="dxa"/>
            <w:vAlign w:val="center"/>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14.其他要求</w:t>
            </w:r>
          </w:p>
        </w:tc>
        <w:tc>
          <w:tcPr>
            <w:tcW w:w="6380" w:type="dxa"/>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非食品处理区未设置卫生间的，就餐区应设置洗手、消毒、烘干设施</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5</w:t>
            </w:r>
            <w:r>
              <w:rPr>
                <w:rFonts w:ascii="仿宋_GB2312" w:hAnsi="宋体" w:eastAsia="仿宋_GB2312" w:cs="仿宋_GB2312"/>
                <w:color w:val="000000"/>
                <w:kern w:val="0"/>
              </w:rPr>
              <w:t>4</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60" w:type="dxa"/>
            <w:vMerge w:val="restart"/>
            <w:vAlign w:val="center"/>
          </w:tcPr>
          <w:p>
            <w:pPr>
              <w:widowControl/>
              <w:rPr>
                <w:rFonts w:ascii="仿宋_GB2312" w:hAnsi="宋体" w:eastAsia="仿宋_GB2312" w:cs="仿宋_GB2312"/>
                <w:color w:val="000000"/>
                <w:kern w:val="0"/>
              </w:rPr>
            </w:pPr>
            <w:r>
              <w:rPr>
                <w:rFonts w:ascii="仿宋_GB2312" w:hAnsi="宋体" w:eastAsia="仿宋_GB2312" w:cs="仿宋_GB2312"/>
                <w:color w:val="000000"/>
                <w:kern w:val="0"/>
              </w:rPr>
              <w:t>15.制度</w:t>
            </w:r>
          </w:p>
        </w:tc>
        <w:tc>
          <w:tcPr>
            <w:tcW w:w="6380" w:type="dxa"/>
            <w:vAlign w:val="center"/>
          </w:tcPr>
          <w:p>
            <w:pPr>
              <w:widowControl/>
              <w:rPr>
                <w:rFonts w:ascii="仿宋_GB2312" w:hAnsi="宋体" w:cs="仿宋_GB2312" w:eastAsiaTheme="minorEastAsia"/>
                <w:color w:val="000000"/>
                <w:kern w:val="0"/>
              </w:rPr>
            </w:pPr>
            <w:r>
              <w:rPr>
                <w:rFonts w:hint="eastAsia" w:ascii="仿宋_GB2312" w:hAnsi="宋体" w:eastAsia="仿宋_GB2312" w:cs="仿宋_GB2312"/>
                <w:kern w:val="0"/>
              </w:rPr>
              <w:t>制定与实际经营状况相符合的保证食品安全的规章制度并形成书面材料，主要制度内容应包括从业人员健康管理制度、从业人员培训制度、食品安全自查制度、食品进货查验记录制度、食品贮存管理制度、不合格食品处置制度、食品安全突发事件应急处置方案等</w:t>
            </w:r>
          </w:p>
        </w:tc>
        <w:tc>
          <w:tcPr>
            <w:tcW w:w="762" w:type="dxa"/>
            <w:vAlign w:val="center"/>
          </w:tcPr>
          <w:p>
            <w:pPr>
              <w:widowControl/>
              <w:jc w:val="center"/>
              <w:rPr>
                <w:rFonts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rPr>
              <w:t>5</w:t>
            </w:r>
            <w:r>
              <w:rPr>
                <w:rFonts w:ascii="仿宋_GB2312" w:hAnsi="宋体" w:eastAsia="仿宋_GB2312" w:cs="仿宋_GB2312"/>
                <w:color w:val="000000"/>
                <w:kern w:val="0"/>
              </w:rPr>
              <w:t>5</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仿宋_GB2312" w:cs="宋体"/>
                <w:color w:val="000000"/>
                <w:kern w:val="0"/>
                <w:szCs w:val="21"/>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60" w:type="dxa"/>
            <w:vMerge w:val="continue"/>
            <w:vAlign w:val="center"/>
          </w:tcPr>
          <w:p>
            <w:pPr>
              <w:widowControl/>
              <w:rPr>
                <w:rFonts w:ascii="仿宋_GB2312" w:hAnsi="宋体" w:eastAsia="仿宋_GB2312" w:cs="仿宋_GB2312"/>
                <w:color w:val="000000"/>
                <w:kern w:val="0"/>
              </w:rPr>
            </w:pPr>
          </w:p>
        </w:tc>
        <w:tc>
          <w:tcPr>
            <w:tcW w:w="6380" w:type="dxa"/>
            <w:vAlign w:val="center"/>
          </w:tcPr>
          <w:p>
            <w:pPr>
              <w:widowControl/>
              <w:rPr>
                <w:rFonts w:ascii="仿宋_GB2312" w:hAnsi="宋体" w:eastAsia="仿宋_GB2312" w:cs="仿宋_GB2312"/>
                <w:kern w:val="0"/>
              </w:rPr>
            </w:pPr>
            <w:r>
              <w:rPr>
                <w:rFonts w:ascii="仿宋_GB2312" w:hAnsi="宋体" w:eastAsia="仿宋_GB2312" w:cs="仿宋_GB2312"/>
                <w:color w:val="000000"/>
                <w:kern w:val="0"/>
              </w:rPr>
              <w:t>制度中应体现食材采购统一管理、收银统一入口、人员统一管理、送餐统一进行的内容</w:t>
            </w:r>
          </w:p>
        </w:tc>
        <w:tc>
          <w:tcPr>
            <w:tcW w:w="762" w:type="dxa"/>
            <w:vAlign w:val="center"/>
          </w:tcPr>
          <w:p>
            <w:pPr>
              <w:widowControl/>
              <w:jc w:val="center"/>
              <w:rPr>
                <w:rFonts w:hint="default" w:ascii="仿宋_GB2312" w:hAnsi="宋体" w:eastAsia="仿宋_GB2312" w:cs="仿宋_GB2312"/>
                <w:color w:val="000000"/>
                <w:kern w:val="0"/>
                <w:sz w:val="21"/>
                <w:lang w:val="en-US" w:eastAsia="zh-CN" w:bidi="ar-SA"/>
              </w:rPr>
            </w:pPr>
            <w:r>
              <w:rPr>
                <w:rFonts w:hint="eastAsia" w:ascii="仿宋_GB2312" w:hAnsi="宋体" w:eastAsia="仿宋_GB2312" w:cs="仿宋_GB2312"/>
                <w:color w:val="000000"/>
                <w:kern w:val="0"/>
                <w:sz w:val="21"/>
                <w:lang w:val="en-US" w:eastAsia="zh-CN" w:bidi="ar-SA"/>
              </w:rPr>
              <w:t>56</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rPr>
                <w:rFonts w:ascii="仿宋_GB2312" w:hAnsi="仿宋_GB2312" w:cs="宋体"/>
                <w:color w:val="000000"/>
                <w:kern w:val="0"/>
                <w:szCs w:val="21"/>
              </w:rPr>
            </w:pPr>
            <w:r>
              <w:rPr>
                <w:rFonts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6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16.人员</w:t>
            </w:r>
          </w:p>
        </w:tc>
        <w:tc>
          <w:tcPr>
            <w:tcW w:w="6380" w:type="dxa"/>
            <w:vAlign w:val="center"/>
          </w:tcPr>
          <w:p>
            <w:pPr>
              <w:widowControl/>
              <w:rPr>
                <w:rFonts w:ascii="仿宋_GB2312" w:hAnsi="宋体" w:eastAsia="仿宋_GB2312" w:cs="仿宋_GB2312"/>
                <w:color w:val="000000"/>
                <w:kern w:val="0"/>
              </w:rPr>
            </w:pPr>
            <w:r>
              <w:rPr>
                <w:rFonts w:hint="eastAsia" w:ascii="仿宋_GB2312" w:hAnsi="宋体" w:eastAsia="仿宋_GB2312" w:cs="仿宋_GB2312"/>
                <w:kern w:val="0"/>
                <w:lang w:val="zh-CN"/>
              </w:rPr>
              <w:t>应当配备专职或兼职食品安全总监、食品安全员等食品安全管理人员</w:t>
            </w:r>
          </w:p>
        </w:tc>
        <w:tc>
          <w:tcPr>
            <w:tcW w:w="762" w:type="dxa"/>
            <w:vAlign w:val="center"/>
          </w:tcPr>
          <w:p>
            <w:pPr>
              <w:widowControl/>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57</w:t>
            </w:r>
          </w:p>
        </w:tc>
        <w:tc>
          <w:tcPr>
            <w:tcW w:w="993" w:type="dxa"/>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850"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992" w:type="dxa"/>
            <w:vAlign w:val="center"/>
          </w:tcPr>
          <w:p>
            <w:pPr>
              <w:widowControl/>
              <w:jc w:val="center"/>
              <w:rPr>
                <w:rFonts w:ascii="仿宋_GB2312" w:hAnsi="仿宋_GB2312" w:cs="宋体"/>
                <w:color w:val="000000"/>
                <w:kern w:val="0"/>
                <w:szCs w:val="21"/>
              </w:rPr>
            </w:pPr>
            <w:r>
              <w:rPr>
                <w:rFonts w:ascii="仿宋_GB2312" w:hAnsi="仿宋_GB2312" w:cs="宋体"/>
                <w:color w:val="000000"/>
                <w:kern w:val="0"/>
                <w:szCs w:val="21"/>
              </w:rPr>
              <w:t>　</w:t>
            </w:r>
          </w:p>
        </w:tc>
        <w:tc>
          <w:tcPr>
            <w:tcW w:w="1203" w:type="dxa"/>
            <w:vAlign w:val="center"/>
          </w:tcPr>
          <w:p>
            <w:pPr>
              <w:widowControl/>
              <w:jc w:val="center"/>
              <w:rPr>
                <w:rFonts w:ascii="仿宋_GB2312" w:hAnsi="仿宋_GB2312" w:cs="宋体"/>
                <w:color w:val="000000"/>
                <w:kern w:val="0"/>
                <w:szCs w:val="21"/>
              </w:rPr>
            </w:pPr>
            <w:r>
              <w:rPr>
                <w:rFonts w:ascii="仿宋_GB2312" w:hAnsi="宋体" w:eastAsia="仿宋_GB2312" w:cs="仿宋_GB2312"/>
                <w:color w:val="000000"/>
                <w:kern w:val="0"/>
              </w:rPr>
              <w:t>不得缺项</w:t>
            </w:r>
          </w:p>
        </w:tc>
      </w:tr>
    </w:tbl>
    <w:p>
      <w:pPr>
        <w:tabs>
          <w:tab w:val="center" w:pos="6960"/>
          <w:tab w:val="left" w:pos="11825"/>
        </w:tabs>
        <w:spacing w:line="280" w:lineRule="exact"/>
        <w:jc w:val="left"/>
        <w:rPr>
          <w:rFonts w:ascii="仿宋_GB2312" w:eastAsia="仿宋_GB2312" w:cs="仿宋_GB2312"/>
          <w:color w:val="000000"/>
        </w:rPr>
      </w:pPr>
      <w:r>
        <w:rPr>
          <w:rFonts w:hint="eastAsia" w:ascii="仿宋_GB2312" w:eastAsia="仿宋_GB2312" w:cs="仿宋_GB2312"/>
          <w:color w:val="000000"/>
        </w:rPr>
        <w:t>说明：本表共</w:t>
      </w:r>
      <w:r>
        <w:rPr>
          <w:rFonts w:ascii="仿宋_GB2312" w:eastAsia="仿宋_GB2312" w:cs="仿宋_GB2312"/>
          <w:color w:val="000000"/>
        </w:rPr>
        <w:t>5</w:t>
      </w:r>
      <w:r>
        <w:rPr>
          <w:rFonts w:hint="eastAsia" w:ascii="仿宋_GB2312" w:eastAsia="仿宋_GB2312" w:cs="仿宋_GB2312"/>
          <w:color w:val="000000"/>
          <w:lang w:val="en-US" w:eastAsia="zh-CN"/>
        </w:rPr>
        <w:t>7</w:t>
      </w:r>
      <w:r>
        <w:rPr>
          <w:rFonts w:hint="eastAsia" w:ascii="仿宋_GB2312" w:eastAsia="仿宋_GB2312" w:cs="仿宋_GB2312"/>
          <w:color w:val="000000"/>
        </w:rPr>
        <w:t>项，其中重点</w:t>
      </w:r>
      <w:r>
        <w:rPr>
          <w:rFonts w:ascii="仿宋_GB2312" w:eastAsia="仿宋_GB2312" w:cs="仿宋_GB2312"/>
          <w:color w:val="000000"/>
        </w:rPr>
        <w:t>3</w:t>
      </w:r>
      <w:r>
        <w:rPr>
          <w:rFonts w:hint="eastAsia" w:ascii="仿宋_GB2312" w:eastAsia="仿宋_GB2312" w:cs="仿宋_GB2312"/>
          <w:color w:val="000000"/>
          <w:lang w:val="en-US" w:eastAsia="zh-CN"/>
        </w:rPr>
        <w:t>6</w:t>
      </w:r>
      <w:r>
        <w:rPr>
          <w:rFonts w:hint="eastAsia" w:ascii="仿宋_GB2312" w:eastAsia="仿宋_GB2312" w:cs="仿宋_GB2312"/>
          <w:color w:val="000000"/>
        </w:rPr>
        <w:t>项，一般项</w:t>
      </w:r>
      <w:r>
        <w:rPr>
          <w:rFonts w:ascii="仿宋_GB2312" w:eastAsia="仿宋_GB2312" w:cs="仿宋_GB2312"/>
          <w:color w:val="000000"/>
        </w:rPr>
        <w:t>2</w:t>
      </w:r>
      <w:r>
        <w:rPr>
          <w:rFonts w:hint="eastAsia" w:ascii="仿宋_GB2312" w:eastAsia="仿宋_GB2312" w:cs="仿宋_GB2312"/>
          <w:color w:val="000000"/>
          <w:lang w:val="en-US" w:eastAsia="zh-CN"/>
        </w:rPr>
        <w:t>1</w:t>
      </w:r>
      <w:r>
        <w:rPr>
          <w:rFonts w:hint="eastAsia" w:ascii="仿宋_GB2312" w:eastAsia="仿宋_GB2312" w:cs="仿宋_GB2312"/>
          <w:color w:val="000000"/>
        </w:rPr>
        <w:t>项。</w:t>
      </w:r>
      <w:r>
        <w:rPr>
          <w:rFonts w:ascii="仿宋_GB2312" w:eastAsia="仿宋_GB2312" w:cs="仿宋_GB2312"/>
          <w:color w:val="000000"/>
        </w:rPr>
        <w:t>**</w:t>
      </w:r>
      <w:r>
        <w:rPr>
          <w:rFonts w:hint="eastAsia" w:ascii="仿宋_GB2312" w:eastAsia="仿宋_GB2312" w:cs="仿宋_GB2312"/>
          <w:color w:val="000000"/>
        </w:rPr>
        <w:t>表示重点项，</w:t>
      </w:r>
      <w:r>
        <w:rPr>
          <w:rFonts w:ascii="仿宋_GB2312" w:eastAsia="仿宋_GB2312" w:cs="仿宋_GB2312"/>
          <w:color w:val="000000"/>
        </w:rPr>
        <w:t>*</w:t>
      </w:r>
      <w:r>
        <w:rPr>
          <w:rFonts w:hint="eastAsia" w:ascii="仿宋_GB2312" w:eastAsia="仿宋_GB2312" w:cs="仿宋_GB2312"/>
          <w:color w:val="000000"/>
        </w:rPr>
        <w:t>为一般项。判定原则：重点项必须全部符合，一般项符合数</w:t>
      </w:r>
      <w:r>
        <w:rPr>
          <w:rFonts w:hint="eastAsia" w:ascii="仿宋" w:hAnsi="仿宋" w:eastAsia="仿宋" w:cs="仿宋_GB2312"/>
          <w:color w:val="000000"/>
        </w:rPr>
        <w:t>≥</w:t>
      </w:r>
      <w:r>
        <w:rPr>
          <w:rFonts w:hint="eastAsia" w:ascii="仿宋_GB2312" w:eastAsia="仿宋_GB2312" w:cs="仿宋_GB2312"/>
          <w:color w:val="000000"/>
        </w:rPr>
        <w:t>所勾选一般项的</w:t>
      </w:r>
      <w:r>
        <w:rPr>
          <w:rFonts w:ascii="仿宋_GB2312" w:eastAsia="仿宋_GB2312" w:cs="仿宋_GB2312"/>
          <w:color w:val="000000"/>
        </w:rPr>
        <w:t>70%</w:t>
      </w:r>
    </w:p>
    <w:p>
      <w:pPr>
        <w:pStyle w:val="2"/>
        <w:ind w:firstLine="0" w:firstLineChars="0"/>
      </w:pPr>
    </w:p>
    <w:p>
      <w:pPr>
        <w:tabs>
          <w:tab w:val="left" w:pos="5812"/>
        </w:tabs>
        <w:rPr>
          <w:rFonts w:ascii="黑体" w:hAnsi="宋体" w:eastAsia="黑体" w:cs="宋体"/>
          <w:bCs/>
          <w:color w:val="000000"/>
          <w:kern w:val="0"/>
          <w:sz w:val="36"/>
          <w:szCs w:val="36"/>
        </w:rPr>
        <w:sectPr>
          <w:pgSz w:w="16838" w:h="11906" w:orient="landscape"/>
          <w:pgMar w:top="1474" w:right="1984" w:bottom="1587" w:left="2098" w:header="851" w:footer="992" w:gutter="0"/>
          <w:cols w:space="0" w:num="1"/>
          <w:docGrid w:type="lines" w:linePitch="312" w:charSpace="0"/>
        </w:sectPr>
      </w:pPr>
    </w:p>
    <w:p>
      <w:pPr>
        <w:spacing w:line="280" w:lineRule="exact"/>
      </w:pPr>
    </w:p>
    <w:p>
      <w:pPr>
        <w:pStyle w:val="2"/>
      </w:pPr>
    </w:p>
    <w:p>
      <w:pPr>
        <w:pStyle w:val="2"/>
      </w:pPr>
    </w:p>
    <w:p>
      <w:pPr>
        <w:pStyle w:val="2"/>
      </w:pPr>
    </w:p>
    <w:p>
      <w:pPr>
        <w:pStyle w:val="2"/>
      </w:pPr>
    </w:p>
    <w:p>
      <w:pPr>
        <w:pStyle w:val="2"/>
      </w:pPr>
    </w:p>
    <w:tbl>
      <w:tblPr>
        <w:tblStyle w:val="5"/>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Merge w:val="restart"/>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spacing w:line="580" w:lineRule="atLeast"/>
              <w:jc w:val="center"/>
              <w:rPr>
                <w:rFonts w:hint="eastAsia" w:ascii="仿宋_GB2312" w:hAnsi="宋体" w:eastAsia="仿宋_GB2312" w:cs="仿宋_GB2312"/>
                <w:color w:val="000000"/>
                <w:kern w:val="0"/>
              </w:rPr>
            </w:pPr>
            <w:r>
              <w:rPr>
                <w:rFonts w:hint="eastAsia" w:ascii="黑体" w:hAnsi="黑体" w:eastAsia="黑体"/>
                <w:sz w:val="30"/>
                <w:szCs w:val="30"/>
              </w:rPr>
              <w:t>记录</w:t>
            </w: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重点项：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pStyle w:val="2"/>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Merge w:val="continue"/>
            <w:vAlign w:val="center"/>
          </w:tcPr>
          <w:p>
            <w:pPr>
              <w:spacing w:line="580" w:lineRule="atLeast"/>
              <w:jc w:val="center"/>
              <w:rPr>
                <w:rFonts w:hint="eastAsia"/>
              </w:rPr>
            </w:pP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一般项：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widowControl/>
              <w:adjustRightInd w:val="0"/>
              <w:snapToGri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pStyle w:val="2"/>
              <w:ind w:left="0" w:leftChars="0" w:firstLine="0" w:firstLineChars="0"/>
              <w:jc w:val="center"/>
              <w:rPr>
                <w:rFonts w:hint="eastAsia"/>
              </w:rPr>
            </w:pPr>
            <w:r>
              <w:rPr>
                <w:rFonts w:hint="eastAsia" w:ascii="黑体" w:hAnsi="黑体" w:eastAsia="黑体"/>
                <w:sz w:val="30"/>
                <w:szCs w:val="30"/>
              </w:rPr>
              <w:t>结论</w:t>
            </w:r>
          </w:p>
        </w:tc>
        <w:tc>
          <w:tcPr>
            <w:tcW w:w="11225" w:type="dxa"/>
            <w:vAlign w:val="center"/>
          </w:tcPr>
          <w:p>
            <w:pPr>
              <w:widowControl/>
              <w:adjustRightInd w:val="0"/>
              <w:snapToGrid w:val="0"/>
              <w:jc w:val="center"/>
              <w:rPr>
                <w:rFonts w:hint="eastAsia" w:ascii="仿宋_GB2312" w:hAnsi="宋体" w:eastAsia="仿宋_GB2312" w:cs="仿宋_GB2312"/>
                <w:color w:val="000000"/>
                <w:kern w:val="0"/>
              </w:rPr>
            </w:pPr>
            <w:r>
              <w:rPr>
                <w:rFonts w:hint="eastAsia" w:ascii="宋体" w:hAnsi="宋体" w:cs="Times New Roman"/>
                <w:sz w:val="28"/>
                <w:szCs w:val="28"/>
              </w:rPr>
              <w:t>□符合规定</w:t>
            </w:r>
            <w:r>
              <w:rPr>
                <w:rFonts w:hint="eastAsia" w:ascii="宋体" w:hAnsi="宋体" w:cs="Times New Roman"/>
                <w:sz w:val="28"/>
                <w:szCs w:val="28"/>
                <w:lang w:val="en-US" w:eastAsia="zh-CN"/>
              </w:rPr>
              <w:t xml:space="preserve">        </w:t>
            </w:r>
            <w:r>
              <w:rPr>
                <w:rFonts w:hint="eastAsia" w:ascii="宋体" w:hAnsi="宋体" w:cs="Times New Roman"/>
                <w:sz w:val="28"/>
                <w:szCs w:val="28"/>
              </w:rPr>
              <w:t>　□不符合规定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top"/>
          </w:tcPr>
          <w:p>
            <w:pPr>
              <w:jc w:val="left"/>
              <w:rPr>
                <w:rFonts w:ascii="仿宋" w:hAnsi="仿宋" w:eastAsia="仿宋"/>
                <w:b/>
                <w:sz w:val="32"/>
                <w:szCs w:val="32"/>
              </w:rPr>
            </w:pPr>
            <w:r>
              <w:rPr>
                <w:rFonts w:hint="eastAsia" w:ascii="仿宋" w:hAnsi="仿宋" w:eastAsia="仿宋"/>
                <w:b/>
                <w:sz w:val="32"/>
                <w:szCs w:val="32"/>
              </w:rPr>
              <w:t>核查</w:t>
            </w:r>
            <w:r>
              <w:rPr>
                <w:rFonts w:ascii="仿宋" w:hAnsi="仿宋" w:eastAsia="仿宋"/>
                <w:b/>
                <w:sz w:val="32"/>
                <w:szCs w:val="32"/>
              </w:rPr>
              <w:t>人员</w:t>
            </w:r>
            <w:r>
              <w:rPr>
                <w:rFonts w:hint="eastAsia" w:ascii="仿宋" w:hAnsi="仿宋" w:eastAsia="仿宋"/>
                <w:b/>
                <w:sz w:val="32"/>
                <w:szCs w:val="32"/>
              </w:rPr>
              <w:t>签字</w:t>
            </w:r>
            <w:r>
              <w:rPr>
                <w:rFonts w:ascii="仿宋" w:hAnsi="仿宋" w:eastAsia="仿宋"/>
                <w:b/>
                <w:sz w:val="32"/>
                <w:szCs w:val="32"/>
              </w:rPr>
              <w:t xml:space="preserve">： </w:t>
            </w:r>
          </w:p>
          <w:p>
            <w:pPr>
              <w:widowControl/>
              <w:adjustRightInd w:val="0"/>
              <w:snapToGrid w:val="0"/>
              <w:jc w:val="right"/>
              <w:rPr>
                <w:rFonts w:hint="eastAsia" w:ascii="仿宋_GB2312" w:hAnsi="宋体" w:eastAsia="仿宋_GB2312" w:cs="仿宋_GB2312"/>
                <w:color w:val="000000"/>
                <w:kern w:val="0"/>
              </w:rPr>
            </w:pPr>
            <w:r>
              <w:rPr>
                <w:rFonts w:hint="eastAsia" w:ascii="仿宋" w:hAnsi="仿宋" w:eastAsia="仿宋"/>
                <w:b/>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center"/>
          </w:tcPr>
          <w:p>
            <w:pPr>
              <w:widowControl/>
              <w:adjustRightInd w:val="0"/>
              <w:snapToGrid w:val="0"/>
              <w:jc w:val="left"/>
              <w:rPr>
                <w:rFonts w:hint="eastAsia" w:ascii="仿宋_GB2312" w:hAnsi="宋体" w:eastAsia="仿宋_GB2312" w:cs="仿宋_GB2312"/>
                <w:color w:val="000000"/>
                <w:kern w:val="0"/>
              </w:rPr>
            </w:pPr>
            <w:r>
              <w:rPr>
                <w:rFonts w:hint="eastAsia" w:ascii="仿宋" w:hAnsi="仿宋" w:eastAsia="仿宋"/>
                <w:b/>
                <w:sz w:val="32"/>
                <w:szCs w:val="32"/>
              </w:rPr>
              <w:t>当事人</w:t>
            </w:r>
            <w:r>
              <w:rPr>
                <w:rFonts w:ascii="仿宋" w:hAnsi="仿宋" w:eastAsia="仿宋"/>
                <w:b/>
                <w:sz w:val="32"/>
                <w:szCs w:val="32"/>
              </w:rPr>
              <w:t>签字</w:t>
            </w: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年    月    日</w:t>
            </w:r>
          </w:p>
        </w:tc>
      </w:tr>
    </w:tbl>
    <w:p>
      <w:pPr>
        <w:pStyle w:val="2"/>
      </w:pPr>
      <w:bookmarkStart w:id="0" w:name="_GoBack"/>
      <w:bookmarkEnd w:id="0"/>
    </w:p>
    <w:p>
      <w:pPr>
        <w:pStyle w:val="2"/>
      </w:pPr>
    </w:p>
    <w:sectPr>
      <w:type w:val="continuous"/>
      <w:pgSz w:w="16838" w:h="11906" w:orient="landscape"/>
      <w:pgMar w:top="1474" w:right="1984" w:bottom="158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等线">
    <w:altName w:val="仿宋_GB2312"/>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OTE3ZmM3ZjdkZDU0Nzg5YTM4ZWM2NzAxZjEzZTAifQ=="/>
  </w:docVars>
  <w:rsids>
    <w:rsidRoot w:val="7FFEEDF3"/>
    <w:rsid w:val="00093435"/>
    <w:rsid w:val="000A4F46"/>
    <w:rsid w:val="000B726E"/>
    <w:rsid w:val="000E38A5"/>
    <w:rsid w:val="00157F87"/>
    <w:rsid w:val="001A1DFE"/>
    <w:rsid w:val="001A7E4E"/>
    <w:rsid w:val="00245CDE"/>
    <w:rsid w:val="002A36B1"/>
    <w:rsid w:val="002B1F02"/>
    <w:rsid w:val="002C269E"/>
    <w:rsid w:val="002E6ECC"/>
    <w:rsid w:val="003A6352"/>
    <w:rsid w:val="003D0FBB"/>
    <w:rsid w:val="003F6A9F"/>
    <w:rsid w:val="004208BD"/>
    <w:rsid w:val="004A0113"/>
    <w:rsid w:val="004C1DE2"/>
    <w:rsid w:val="00501422"/>
    <w:rsid w:val="005233DA"/>
    <w:rsid w:val="005270CF"/>
    <w:rsid w:val="005403AC"/>
    <w:rsid w:val="00573D3B"/>
    <w:rsid w:val="00617444"/>
    <w:rsid w:val="006B4FF4"/>
    <w:rsid w:val="0074775F"/>
    <w:rsid w:val="007525A6"/>
    <w:rsid w:val="007661B0"/>
    <w:rsid w:val="0079717E"/>
    <w:rsid w:val="007C4746"/>
    <w:rsid w:val="008E2493"/>
    <w:rsid w:val="0095304D"/>
    <w:rsid w:val="00953DB5"/>
    <w:rsid w:val="00992BF0"/>
    <w:rsid w:val="009B15AD"/>
    <w:rsid w:val="00A31F62"/>
    <w:rsid w:val="00A73E47"/>
    <w:rsid w:val="00AD2700"/>
    <w:rsid w:val="00AF208D"/>
    <w:rsid w:val="00B032A2"/>
    <w:rsid w:val="00B40E75"/>
    <w:rsid w:val="00B87FD4"/>
    <w:rsid w:val="00B96A2C"/>
    <w:rsid w:val="00BD178F"/>
    <w:rsid w:val="00BF78C8"/>
    <w:rsid w:val="00C21DFA"/>
    <w:rsid w:val="00C5066A"/>
    <w:rsid w:val="00C61143"/>
    <w:rsid w:val="00C93A15"/>
    <w:rsid w:val="00CE5F50"/>
    <w:rsid w:val="00D811C3"/>
    <w:rsid w:val="00DD5554"/>
    <w:rsid w:val="00E03E7E"/>
    <w:rsid w:val="00E13C46"/>
    <w:rsid w:val="00E459D9"/>
    <w:rsid w:val="00E90607"/>
    <w:rsid w:val="00EC6FA1"/>
    <w:rsid w:val="00F50447"/>
    <w:rsid w:val="00F72F0B"/>
    <w:rsid w:val="00F85DD9"/>
    <w:rsid w:val="17553BFD"/>
    <w:rsid w:val="482D5EA8"/>
    <w:rsid w:val="6FDB61D1"/>
    <w:rsid w:val="716F595A"/>
    <w:rsid w:val="7BD417E2"/>
    <w:rsid w:val="7BDFB451"/>
    <w:rsid w:val="7E7FE3BD"/>
    <w:rsid w:val="7F7FD383"/>
    <w:rsid w:val="7FFEEDF3"/>
    <w:rsid w:val="9E7EA716"/>
    <w:rsid w:val="9F7DF35F"/>
    <w:rsid w:val="B5FF6AA8"/>
    <w:rsid w:val="DFFFA98C"/>
    <w:rsid w:val="F6FECDC8"/>
    <w:rsid w:val="F7FF2AE2"/>
    <w:rsid w:val="FBA5C9FB"/>
    <w:rsid w:val="FF2BC42A"/>
    <w:rsid w:val="FFE7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Company>
  <Pages>1</Pages>
  <Words>658</Words>
  <Characters>3757</Characters>
  <Lines>31</Lines>
  <Paragraphs>8</Paragraphs>
  <TotalTime>0</TotalTime>
  <ScaleCrop>false</ScaleCrop>
  <LinksUpToDate>false</LinksUpToDate>
  <CharactersWithSpaces>4407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2023-08-20T02:10:00Z</dcterms:created>
  <dc:creator>scjgj</dc:creator>
  <cp:lastModifiedBy>沙仑水仙</cp:lastModifiedBy>
  <dcterms:modified xsi:type="dcterms:W3CDTF">2023-12-05T09:04:28Z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4A4EA9FB0BE44FEBA54405ABEB25689A_12</vt:lpwstr>
  </property>
</Properties>
</file>